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8F35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3434C0">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AD859A2">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fldChar w:fldCharType="end"/>
            </w:r>
            <w:bookmarkEnd w:id="0"/>
          </w:p>
        </w:tc>
      </w:tr>
      <w:tr w14:paraId="2D3D8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99BB6AA">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E953F3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5BB5413">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0EA6BA16">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08</w:t>
            </w:r>
            <w:r>
              <w:rPr>
                <w:rFonts w:ascii="黑体" w:hAnsi="黑体" w:eastAsia="黑体"/>
                <w:sz w:val="21"/>
                <w:szCs w:val="21"/>
              </w:rPr>
              <w:fldChar w:fldCharType="end"/>
            </w:r>
            <w:bookmarkEnd w:id="2"/>
          </w:p>
        </w:tc>
      </w:tr>
    </w:tbl>
    <w:p w14:paraId="2D25243A">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4EB8284">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9FAB354">
      <w:pPr>
        <w:pStyle w:val="19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1BE924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6FDA14E">
      <w:pPr>
        <w:pStyle w:val="53"/>
        <w:framePr w:w="9639" w:h="6976" w:hRule="exact" w:hSpace="0" w:vSpace="0" w:wrap="around" w:hAnchor="page" w:y="6408"/>
        <w:jc w:val="center"/>
        <w:rPr>
          <w:rFonts w:hint="eastAsia" w:ascii="黑体" w:hAnsi="黑体" w:eastAsia="黑体"/>
          <w:b w:val="0"/>
          <w:bCs w:val="0"/>
          <w:w w:val="100"/>
        </w:rPr>
      </w:pPr>
    </w:p>
    <w:p w14:paraId="4B21F113">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望谟芒果  包装标识技术规范</w:t>
      </w:r>
      <w:r>
        <w:fldChar w:fldCharType="end"/>
      </w:r>
      <w:bookmarkEnd w:id="9"/>
    </w:p>
    <w:p w14:paraId="702A3829">
      <w:pPr>
        <w:framePr w:w="9639" w:h="6974" w:hRule="exact" w:wrap="around" w:vAnchor="page" w:hAnchor="page" w:x="1419" w:y="6408" w:anchorLock="1"/>
        <w:ind w:left="-1418"/>
      </w:pPr>
    </w:p>
    <w:p w14:paraId="1EB97EBF">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Packaging Labeling of Wangmo Mango</w:t>
      </w:r>
      <w:r>
        <w:rPr>
          <w:rFonts w:eastAsia="黑体"/>
          <w:szCs w:val="28"/>
        </w:rPr>
        <w:fldChar w:fldCharType="end"/>
      </w:r>
      <w:bookmarkEnd w:id="10"/>
    </w:p>
    <w:p w14:paraId="4D4036FC">
      <w:pPr>
        <w:framePr w:w="9639" w:h="6974" w:hRule="exact" w:wrap="around" w:vAnchor="page" w:hAnchor="page" w:x="1419" w:y="6408" w:anchorLock="1"/>
        <w:spacing w:line="760" w:lineRule="exact"/>
        <w:ind w:left="-1418"/>
      </w:pPr>
    </w:p>
    <w:p w14:paraId="338A33F8">
      <w:pPr>
        <w:pStyle w:val="128"/>
        <w:framePr w:w="9639" w:h="6974" w:hRule="exact" w:wrap="around" w:vAnchor="page" w:hAnchor="page" w:x="1419" w:y="6408" w:anchorLock="1"/>
        <w:textAlignment w:val="bottom"/>
        <w:rPr>
          <w:rFonts w:eastAsia="黑体"/>
          <w:szCs w:val="28"/>
        </w:rPr>
      </w:pPr>
    </w:p>
    <w:p w14:paraId="57F88370">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3D7516D">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65BB876">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7C05611">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8B2A3CB">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8425F84">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45570A5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7349F12">
      <w:pPr>
        <w:pStyle w:val="92"/>
        <w:spacing w:before="900" w:after="360"/>
        <w:outlineLvl w:val="9"/>
        <w:rPr>
          <w:spacing w:val="320"/>
        </w:rPr>
      </w:pPr>
      <w:bookmarkStart w:id="21" w:name="BookMark2"/>
      <w:r>
        <w:rPr>
          <w:rFonts w:hint="eastAsia"/>
          <w:spacing w:val="320"/>
        </w:rPr>
        <w:t>目次</w:t>
      </w:r>
    </w:p>
    <w:p w14:paraId="78C74BDA">
      <w:pPr>
        <w:rPr>
          <w:rFonts w:hAnsi="Times New Roman"/>
          <w:spacing w:val="320"/>
        </w:rPr>
      </w:pPr>
    </w:p>
    <w:p w14:paraId="10B5F3FE">
      <w:pPr>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前言 ................................................................................................................................................................... I </w:t>
      </w:r>
    </w:p>
    <w:p w14:paraId="2F5E0C40">
      <w:pPr>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引言 ................................................................................................................................................................... I</w:t>
      </w:r>
    </w:p>
    <w:p w14:paraId="4608B6D6">
      <w:pPr>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1  范围 ............................................................................................................................................................. 2 </w:t>
      </w:r>
    </w:p>
    <w:p w14:paraId="575B0370">
      <w:pPr>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2  规范性引用文件 ......................................................................................................................................... 2 </w:t>
      </w:r>
    </w:p>
    <w:p w14:paraId="599FB567">
      <w:pPr>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3  术语和定义 ................................................................................................................................................. 2 </w:t>
      </w:r>
    </w:p>
    <w:p w14:paraId="5EFF28D3">
      <w:pPr>
        <w:adjustRightInd/>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4  基本要求...................................................................................................................................................... 2 </w:t>
      </w:r>
    </w:p>
    <w:p w14:paraId="7DCE22E1">
      <w:pPr>
        <w:adjustRightInd/>
        <w:spacing w:before="120" w:beforeLines="50" w:after="120" w:afterLines="50" w:line="240" w:lineRule="auto"/>
        <w:rPr>
          <w:rFonts w:ascii="Times New Roman" w:hAnsi="Times New Roman"/>
          <w:kern w:val="0"/>
          <w:szCs w:val="20"/>
        </w:rPr>
      </w:pPr>
      <w:r>
        <w:rPr>
          <w:rFonts w:hint="eastAsia" w:ascii="Times New Roman" w:hAnsi="Times New Roman"/>
          <w:kern w:val="0"/>
          <w:szCs w:val="20"/>
        </w:rPr>
        <w:t>5  包装要求...................................................................................................................................................... 2 </w:t>
      </w:r>
    </w:p>
    <w:p w14:paraId="681D1815">
      <w:pPr>
        <w:pStyle w:val="107"/>
        <w:numPr>
          <w:ilvl w:val="1"/>
          <w:numId w:val="0"/>
        </w:numPr>
        <w:spacing w:before="120" w:beforeLines="50" w:after="120" w:afterLines="50"/>
        <w:rPr>
          <w:rFonts w:ascii="Times New Roman" w:eastAsia="宋体"/>
        </w:rPr>
      </w:pPr>
      <w:r>
        <w:rPr>
          <w:rFonts w:hint="eastAsia" w:ascii="Times New Roman" w:eastAsia="宋体"/>
        </w:rPr>
        <w:t>6  标识要求....................................................................................................................................................... 2 </w:t>
      </w:r>
    </w:p>
    <w:p w14:paraId="3F31D1B1">
      <w:pPr>
        <w:pStyle w:val="107"/>
        <w:numPr>
          <w:ilvl w:val="1"/>
          <w:numId w:val="0"/>
        </w:numPr>
        <w:spacing w:before="120" w:beforeLines="50" w:after="120" w:afterLines="50"/>
        <w:rPr>
          <w:rFonts w:ascii="Times New Roman" w:eastAsia="宋体"/>
        </w:rPr>
      </w:pPr>
      <w:r>
        <w:rPr>
          <w:rFonts w:hint="eastAsia" w:ascii="Times New Roman" w:eastAsia="宋体"/>
        </w:rPr>
        <w:t>附录 A（资料性） 包装容器的种类及材料................................................................................................... 6</w:t>
      </w:r>
    </w:p>
    <w:p w14:paraId="75465B00">
      <w:pPr>
        <w:pStyle w:val="107"/>
        <w:numPr>
          <w:ilvl w:val="1"/>
          <w:numId w:val="0"/>
        </w:numPr>
        <w:spacing w:before="120" w:beforeLines="50" w:after="120" w:afterLines="50"/>
        <w:rPr>
          <w:rFonts w:ascii="Times New Roman" w:eastAsia="宋体"/>
        </w:rPr>
      </w:pPr>
      <w:r>
        <w:rPr>
          <w:rFonts w:hint="eastAsia" w:ascii="Times New Roman" w:eastAsia="宋体"/>
        </w:rPr>
        <w:t>附录 B（资料性） 望谟芒果包装标识示例图............................................................................................... 6</w:t>
      </w:r>
    </w:p>
    <w:p w14:paraId="271DF7D4">
      <w:pPr>
        <w:pStyle w:val="107"/>
        <w:numPr>
          <w:ilvl w:val="1"/>
          <w:numId w:val="0"/>
        </w:numPr>
        <w:spacing w:before="120" w:beforeLines="50" w:after="120" w:afterLines="50"/>
        <w:rPr>
          <w:rFonts w:ascii="Times New Roman" w:eastAsia="宋体"/>
        </w:rPr>
      </w:pPr>
      <w:r>
        <w:rPr>
          <w:rFonts w:hint="eastAsia" w:ascii="Times New Roman" w:eastAsia="宋体"/>
        </w:rPr>
        <w:t>附录 C（资料性） 望谟芒果追溯信息建议内容........................................................................................... 6</w:t>
      </w:r>
    </w:p>
    <w:p w14:paraId="43B937FD">
      <w:pPr>
        <w:pStyle w:val="107"/>
        <w:numPr>
          <w:ilvl w:val="1"/>
          <w:numId w:val="0"/>
        </w:numPr>
        <w:spacing w:before="120" w:beforeLines="50" w:after="120" w:afterLines="50"/>
        <w:rPr>
          <w:rFonts w:ascii="Times New Roman" w:eastAsia="宋体"/>
        </w:rPr>
      </w:pPr>
      <w:r>
        <w:rPr>
          <w:rFonts w:hint="eastAsia" w:ascii="Times New Roman" w:eastAsia="宋体"/>
        </w:rPr>
        <w:t>参考文献.............................................................................................................................................................. 2 </w:t>
      </w:r>
    </w:p>
    <w:p w14:paraId="33A5B2B0">
      <w:pPr>
        <w:pStyle w:val="59"/>
        <w:ind w:firstLine="420"/>
      </w:pPr>
    </w:p>
    <w:p w14:paraId="76C4D23E">
      <w:pPr>
        <w:pStyle w:val="92"/>
        <w:spacing w:before="900" w:after="360"/>
        <w:rPr>
          <w:spacing w:val="320"/>
        </w:rPr>
      </w:pPr>
    </w:p>
    <w:p w14:paraId="77C27939">
      <w:pPr>
        <w:pStyle w:val="92"/>
        <w:spacing w:before="900" w:after="360"/>
        <w:rPr>
          <w:spacing w:val="320"/>
        </w:rPr>
      </w:pPr>
    </w:p>
    <w:p w14:paraId="7AB184B4">
      <w:pPr>
        <w:pStyle w:val="92"/>
        <w:spacing w:before="900" w:after="360"/>
        <w:rPr>
          <w:spacing w:val="320"/>
        </w:rPr>
      </w:pPr>
    </w:p>
    <w:p w14:paraId="073CD71E">
      <w:pPr>
        <w:rPr>
          <w:rFonts w:hAnsi="Times New Roman"/>
          <w:spacing w:val="320"/>
        </w:rPr>
      </w:pPr>
    </w:p>
    <w:p w14:paraId="441558C3">
      <w:pPr>
        <w:rPr>
          <w:rFonts w:hAnsi="Times New Roman"/>
          <w:spacing w:val="320"/>
        </w:rPr>
      </w:pPr>
    </w:p>
    <w:p w14:paraId="01FB19E5">
      <w:pPr>
        <w:pStyle w:val="92"/>
        <w:spacing w:before="900" w:after="360"/>
        <w:rPr>
          <w:spacing w:val="320"/>
        </w:rPr>
      </w:pPr>
      <w:r>
        <w:rPr>
          <w:rFonts w:hint="eastAsia"/>
          <w:spacing w:val="320"/>
        </w:rPr>
        <w:t>前言</w:t>
      </w:r>
    </w:p>
    <w:p w14:paraId="191D0CA2">
      <w:pPr>
        <w:pStyle w:val="59"/>
        <w:ind w:firstLine="420"/>
      </w:pPr>
      <w:r>
        <w:t>本文件按照GB/T 1.1—2020《标准化工作导则  第1部分：标准化文件的结构和起草规则》的规定起草。</w:t>
      </w:r>
    </w:p>
    <w:p w14:paraId="50138D62">
      <w:pPr>
        <w:pStyle w:val="59"/>
        <w:ind w:firstLine="420"/>
        <w:rPr>
          <w:rFonts w:hint="eastAsia"/>
        </w:rPr>
      </w:pPr>
      <w:r>
        <w:rPr>
          <w:rFonts w:hint="eastAsia"/>
        </w:rPr>
        <w:t>《望谟芒果》团体标准体系分为如下9个部分：</w:t>
      </w:r>
    </w:p>
    <w:p w14:paraId="1923D76C">
      <w:pPr>
        <w:pStyle w:val="59"/>
        <w:ind w:firstLine="420"/>
        <w:rPr>
          <w:rFonts w:hint="eastAsia"/>
        </w:rPr>
      </w:pPr>
      <w:r>
        <w:rPr>
          <w:rFonts w:hint="eastAsia"/>
        </w:rPr>
        <w:t>—— 第1部分 产品标准</w:t>
      </w:r>
    </w:p>
    <w:p w14:paraId="0F0C1684">
      <w:pPr>
        <w:pStyle w:val="59"/>
        <w:ind w:firstLine="420"/>
        <w:rPr>
          <w:rFonts w:hint="eastAsia"/>
        </w:rPr>
      </w:pPr>
      <w:r>
        <w:rPr>
          <w:rFonts w:hint="eastAsia"/>
        </w:rPr>
        <w:t xml:space="preserve">—— 第2部分 </w:t>
      </w:r>
      <w:r>
        <w:rPr>
          <w:rFonts w:hint="eastAsia"/>
          <w:lang w:val="en-US" w:eastAsia="zh-CN"/>
        </w:rPr>
        <w:t>品牌</w:t>
      </w:r>
      <w:r>
        <w:rPr>
          <w:rFonts w:hint="eastAsia"/>
        </w:rPr>
        <w:t>使用</w:t>
      </w:r>
      <w:r>
        <w:rPr>
          <w:rFonts w:hint="eastAsia"/>
          <w:lang w:val="en-US" w:eastAsia="zh-CN"/>
        </w:rPr>
        <w:t>管理</w:t>
      </w:r>
      <w:r>
        <w:rPr>
          <w:rFonts w:hint="eastAsia"/>
        </w:rPr>
        <w:t>规范</w:t>
      </w:r>
    </w:p>
    <w:p w14:paraId="5DC875FB">
      <w:pPr>
        <w:pStyle w:val="59"/>
        <w:ind w:firstLine="420"/>
        <w:rPr>
          <w:rFonts w:hint="eastAsia"/>
        </w:rPr>
      </w:pPr>
      <w:r>
        <w:rPr>
          <w:rFonts w:hint="eastAsia"/>
        </w:rPr>
        <w:t>—— 第3部分 栽培技术规程</w:t>
      </w:r>
    </w:p>
    <w:p w14:paraId="6E630894">
      <w:pPr>
        <w:pStyle w:val="59"/>
        <w:ind w:firstLine="420"/>
        <w:rPr>
          <w:rFonts w:hint="eastAsia"/>
        </w:rPr>
      </w:pPr>
      <w:r>
        <w:rPr>
          <w:rFonts w:hint="eastAsia"/>
        </w:rPr>
        <w:t>—— 第4部分 丰产树形培育技术规程</w:t>
      </w:r>
    </w:p>
    <w:p w14:paraId="684D1345">
      <w:pPr>
        <w:pStyle w:val="59"/>
        <w:ind w:firstLine="420"/>
        <w:rPr>
          <w:rFonts w:hint="eastAsia"/>
        </w:rPr>
      </w:pPr>
      <w:r>
        <w:rPr>
          <w:rFonts w:hint="eastAsia"/>
        </w:rPr>
        <w:t>—— 第5部分 套袋技术规程</w:t>
      </w:r>
    </w:p>
    <w:p w14:paraId="6FE9217E">
      <w:pPr>
        <w:pStyle w:val="59"/>
        <w:ind w:firstLine="420"/>
        <w:rPr>
          <w:rFonts w:hint="eastAsia"/>
        </w:rPr>
      </w:pPr>
      <w:r>
        <w:rPr>
          <w:rFonts w:hint="eastAsia"/>
        </w:rPr>
        <w:t>—— 第6部分 主要病虫害绿色防控技术规程</w:t>
      </w:r>
    </w:p>
    <w:p w14:paraId="5DB6E066">
      <w:pPr>
        <w:pStyle w:val="59"/>
        <w:ind w:firstLine="420"/>
        <w:rPr>
          <w:rFonts w:hint="eastAsia"/>
        </w:rPr>
      </w:pPr>
      <w:r>
        <w:rPr>
          <w:rFonts w:hint="eastAsia"/>
        </w:rPr>
        <w:t>—— 第7部分 高接换种技术规程</w:t>
      </w:r>
    </w:p>
    <w:p w14:paraId="4BCB8C2F">
      <w:pPr>
        <w:pStyle w:val="59"/>
        <w:ind w:firstLine="420"/>
        <w:rPr>
          <w:rFonts w:hint="eastAsia"/>
        </w:rPr>
      </w:pPr>
      <w:r>
        <w:rPr>
          <w:rFonts w:hint="eastAsia"/>
        </w:rPr>
        <w:t>—— 第8部分 采收与贮运技术规范</w:t>
      </w:r>
    </w:p>
    <w:p w14:paraId="5ACDCCD3">
      <w:pPr>
        <w:pStyle w:val="59"/>
        <w:ind w:firstLine="420"/>
        <w:rPr>
          <w:rFonts w:hint="eastAsia"/>
        </w:rPr>
      </w:pPr>
      <w:r>
        <w:rPr>
          <w:rFonts w:hint="eastAsia"/>
        </w:rPr>
        <w:t>—— 第9部分 包装标识技术规范</w:t>
      </w:r>
    </w:p>
    <w:p w14:paraId="293EBC2C">
      <w:pPr>
        <w:pStyle w:val="59"/>
        <w:ind w:firstLine="420"/>
        <w:rPr>
          <w:rFonts w:hint="eastAsia"/>
        </w:rPr>
      </w:pPr>
      <w:r>
        <w:rPr>
          <w:rFonts w:hint="eastAsia"/>
        </w:rPr>
        <w:t>本部分为《望谟芒果》团体标准体系的第9部分。</w:t>
      </w:r>
    </w:p>
    <w:p w14:paraId="0A7A5D4D">
      <w:pPr>
        <w:pStyle w:val="59"/>
        <w:ind w:firstLine="420"/>
      </w:pPr>
      <w:r>
        <w:rPr>
          <w:rFonts w:hint="eastAsia"/>
        </w:rPr>
        <w:t>请注意本文件的某些内容可能涉及专利。本文件的发布机构不承担识别专利的责任。</w:t>
      </w:r>
    </w:p>
    <w:p w14:paraId="135A112B">
      <w:pPr>
        <w:pStyle w:val="59"/>
        <w:ind w:firstLine="420"/>
      </w:pPr>
      <w:r>
        <w:t>本文件由</w:t>
      </w:r>
      <w:r>
        <w:rPr>
          <w:rFonts w:hint="eastAsia"/>
        </w:rPr>
        <w:t>中国热带作物学会</w:t>
      </w:r>
      <w:r>
        <w:t>提出</w:t>
      </w:r>
      <w:r>
        <w:rPr>
          <w:rFonts w:hint="eastAsia"/>
        </w:rPr>
        <w:t>并归口</w:t>
      </w:r>
      <w:r>
        <w:t>。</w:t>
      </w:r>
    </w:p>
    <w:p w14:paraId="015148F6">
      <w:pPr>
        <w:pStyle w:val="59"/>
        <w:ind w:firstLine="420"/>
        <w:rPr>
          <w:color w:val="FF0000"/>
        </w:rPr>
      </w:pPr>
      <w:r>
        <w:t>本文件起草单位：</w:t>
      </w:r>
      <w:r>
        <w:rPr>
          <w:rFonts w:hint="eastAsia"/>
        </w:rPr>
        <w:t>贵州省亚热带作物研究所、望谟县农业农村局、黔西南州农业农村局、边饶镇农业农村综合服务中心、望谟县市场监督管理局。</w:t>
      </w:r>
    </w:p>
    <w:p w14:paraId="2668AA89">
      <w:pPr>
        <w:pStyle w:val="59"/>
        <w:ind w:firstLine="420"/>
        <w:rPr>
          <w:color w:val="FF0000"/>
        </w:rPr>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r>
        <w:t>本文件主要起草人：</w:t>
      </w:r>
      <w:r>
        <w:rPr>
          <w:rFonts w:hint="eastAsia"/>
        </w:rPr>
        <w:t>荣  毅、杨亚娥、王忠泽、赵久云、阮正林、杜志华、谢忠武、汤安英、龚明富、石包军、王光兰、扈月豪、刘光鸿</w:t>
      </w:r>
      <w:bookmarkStart w:id="47" w:name="_GoBack"/>
      <w:bookmarkEnd w:id="47"/>
      <w:r>
        <w:rPr>
          <w:rFonts w:hint="eastAsia"/>
        </w:rPr>
        <w:t>。</w:t>
      </w:r>
    </w:p>
    <w:p w14:paraId="186300D9">
      <w:pPr>
        <w:pStyle w:val="92"/>
        <w:spacing w:before="900" w:after="360"/>
        <w:rPr>
          <w:spacing w:val="320"/>
        </w:rPr>
      </w:pPr>
      <w:r>
        <w:rPr>
          <w:rFonts w:hint="eastAsia"/>
          <w:spacing w:val="320"/>
        </w:rPr>
        <w:t>引言</w:t>
      </w:r>
    </w:p>
    <w:p w14:paraId="335E5B9A">
      <w:pPr>
        <w:pStyle w:val="59"/>
        <w:ind w:firstLine="420"/>
        <w:rPr>
          <w:rFonts w:ascii="Times New Roman"/>
        </w:rPr>
      </w:pPr>
      <w:r>
        <w:rPr>
          <w:rFonts w:ascii="Times New Roman"/>
        </w:rPr>
        <w:t>芒果（</w:t>
      </w:r>
      <w:r>
        <w:rPr>
          <w:rFonts w:ascii="Times New Roman"/>
          <w:i/>
          <w:iCs/>
        </w:rPr>
        <w:t>Mangifera indica</w:t>
      </w:r>
      <w:r>
        <w:rPr>
          <w:rFonts w:ascii="Times New Roman"/>
        </w:rPr>
        <w:t xml:space="preserve"> L.）作为一种热带、亚热带重要经济作物，享有“热带果王”的美誉，原产于亚洲东南部的热带地区，其栽培面积和产量居世界热带水果第二。全球约有100个国家（地区）生产芒果，种植面积8137.58万亩，总产量4650.87万吨。我国芒果在“十二五”、“十三五”期间发展迅速，2020年其种植面积达到515.1万亩，收获面积364.8万亩，产量331.2万吨，单产907.9 kg/亩，产值达204.6亿元。望谟芒果是贵州省的主产区，其种植面积已突破10万亩，在热带特色高效农业发展、乡村振兴以及支撑农业“走出去”方面发挥着重要作用。</w:t>
      </w:r>
    </w:p>
    <w:p w14:paraId="45ECE721">
      <w:pPr>
        <w:pStyle w:val="59"/>
        <w:ind w:firstLine="420"/>
        <w:rPr>
          <w:rFonts w:ascii="Times New Roman"/>
        </w:rPr>
      </w:pPr>
      <w:r>
        <w:rPr>
          <w:rFonts w:ascii="Times New Roman"/>
        </w:rPr>
        <w:t>随着芒果产业的发展和市场要求的不断提高，望谟芒果全产业链培育尚存在不足，适植品种、种苗培育、水肥管理、树体培养、采收、采后等关键技术未规范，当前采后商品化处理环节存在分级粗放、包装简陋、标识缺失等问题严重制约产品附加值与品牌建设，难以支撑产业的高质量发展。望谟芒果包装标识技术规范结合望谟芒果产业生产实际，涵盖分级、包装材料、标识内容及追溯管理要求，以支撑望谟芒果市场流通标准化。</w:t>
      </w:r>
    </w:p>
    <w:p w14:paraId="2C6BC211">
      <w:pPr>
        <w:pStyle w:val="59"/>
        <w:ind w:firstLine="420"/>
        <w:rPr>
          <w:rFonts w:ascii="Times New Roman"/>
        </w:rPr>
      </w:pPr>
      <w:r>
        <w:rPr>
          <w:rFonts w:ascii="Times New Roman"/>
        </w:rPr>
        <w:t>本文件的制定，旨在通过强化全流程管理，有效衔接前端种植标准与后端市场流通，着力构建创新驱动强劲、产业链条完整、绿色发展鲜明、质量安全可控、联农带农紧密的现代农业全产业链体系，为全面推进乡村振兴、加快农业农村现代化提供坚实的技术支撑。</w:t>
      </w:r>
    </w:p>
    <w:bookmarkEnd w:id="21"/>
    <w:p w14:paraId="23D5C55B">
      <w:pPr>
        <w:pStyle w:val="59"/>
        <w:ind w:firstLine="420"/>
        <w:rPr>
          <w:rFonts w:hint="eastAsia"/>
        </w:rPr>
      </w:pPr>
      <w:bookmarkStart w:id="22" w:name="BookMark3"/>
    </w:p>
    <w:p w14:paraId="11E95F90">
      <w:pPr>
        <w:pStyle w:val="59"/>
        <w:ind w:firstLine="420"/>
        <w:rPr>
          <w:rFonts w:hint="eastAsia"/>
        </w:rPr>
        <w:sectPr>
          <w:pgSz w:w="11906" w:h="16838"/>
          <w:pgMar w:top="1928" w:right="1134" w:bottom="1134" w:left="1134" w:header="1418" w:footer="1134" w:gutter="284"/>
          <w:pgNumType w:fmt="upperRoman"/>
          <w:cols w:space="425" w:num="1"/>
          <w:formProt w:val="0"/>
          <w:docGrid w:linePitch="312" w:charSpace="0"/>
        </w:sectPr>
      </w:pPr>
    </w:p>
    <w:bookmarkEnd w:id="22"/>
    <w:p w14:paraId="6A906C27">
      <w:pPr>
        <w:spacing w:line="20" w:lineRule="exact"/>
        <w:jc w:val="center"/>
        <w:rPr>
          <w:rFonts w:hint="eastAsia" w:ascii="黑体" w:hAnsi="黑体" w:eastAsia="黑体"/>
          <w:sz w:val="32"/>
          <w:szCs w:val="32"/>
        </w:rPr>
      </w:pPr>
      <w:bookmarkStart w:id="23" w:name="BookMark4"/>
    </w:p>
    <w:p w14:paraId="41920F20">
      <w:pPr>
        <w:spacing w:line="20" w:lineRule="exact"/>
        <w:jc w:val="center"/>
        <w:rPr>
          <w:rFonts w:hint="eastAsia" w:ascii="黑体" w:hAnsi="黑体" w:eastAsia="黑体"/>
          <w:sz w:val="32"/>
          <w:szCs w:val="32"/>
        </w:rPr>
      </w:pPr>
    </w:p>
    <w:p w14:paraId="1B5B1B3D">
      <w:pPr>
        <w:spacing w:line="20" w:lineRule="exact"/>
        <w:jc w:val="center"/>
        <w:rPr>
          <w:rFonts w:hint="eastAsia" w:ascii="黑体" w:hAnsi="黑体" w:eastAsia="黑体"/>
          <w:sz w:val="32"/>
          <w:szCs w:val="32"/>
        </w:rPr>
      </w:pPr>
    </w:p>
    <w:p w14:paraId="1130BA1F">
      <w:pPr>
        <w:spacing w:line="20" w:lineRule="exact"/>
        <w:jc w:val="center"/>
        <w:rPr>
          <w:rFonts w:hint="eastAsia" w:ascii="黑体" w:hAnsi="黑体" w:eastAsia="黑体"/>
          <w:sz w:val="32"/>
          <w:szCs w:val="32"/>
        </w:rPr>
      </w:pPr>
    </w:p>
    <w:p w14:paraId="1560EB44">
      <w:pPr>
        <w:spacing w:line="20" w:lineRule="exact"/>
        <w:jc w:val="center"/>
        <w:rPr>
          <w:rFonts w:hint="eastAsia" w:ascii="黑体" w:hAnsi="黑体" w:eastAsia="黑体"/>
          <w:sz w:val="32"/>
          <w:szCs w:val="32"/>
        </w:rPr>
      </w:pPr>
    </w:p>
    <w:p w14:paraId="422E456D">
      <w:pPr>
        <w:spacing w:line="20" w:lineRule="exact"/>
        <w:jc w:val="center"/>
        <w:rPr>
          <w:rFonts w:hint="eastAsia" w:ascii="黑体" w:hAnsi="黑体" w:eastAsia="黑体"/>
          <w:sz w:val="32"/>
          <w:szCs w:val="32"/>
        </w:rPr>
      </w:pPr>
    </w:p>
    <w:p w14:paraId="042A4982">
      <w:pPr>
        <w:spacing w:line="20" w:lineRule="exact"/>
        <w:jc w:val="center"/>
        <w:rPr>
          <w:rFonts w:hint="eastAsia" w:ascii="黑体" w:hAnsi="黑体" w:eastAsia="黑体"/>
          <w:sz w:val="32"/>
          <w:szCs w:val="32"/>
        </w:rPr>
      </w:pPr>
    </w:p>
    <w:sdt>
      <w:sdtPr>
        <w:tag w:val="NEW_STAND_NAME"/>
        <w:id w:val="595910757"/>
        <w:lock w:val="sdtLocked"/>
        <w:placeholder>
          <w:docPart w:val="72EB79A776454EF38B46795D84214E15"/>
        </w:placeholder>
      </w:sdtPr>
      <w:sdtContent>
        <w:p w14:paraId="6552AAB5">
          <w:pPr>
            <w:pStyle w:val="180"/>
            <w:rPr>
              <w:rFonts w:hint="eastAsia"/>
            </w:rPr>
          </w:pPr>
          <w:bookmarkStart w:id="24" w:name="NEW_STAND_NAME"/>
          <w:r>
            <w:rPr>
              <w:rFonts w:hint="eastAsia"/>
            </w:rPr>
            <w:t>望谟芒果包装标识技术规范</w:t>
          </w:r>
        </w:p>
      </w:sdtContent>
    </w:sdt>
    <w:bookmarkEnd w:id="24"/>
    <w:p w14:paraId="2F6BE195">
      <w:pPr>
        <w:pStyle w:val="107"/>
        <w:spacing w:before="240" w:after="240"/>
        <w:ind w:left="0"/>
      </w:pPr>
      <w:bookmarkStart w:id="25" w:name="_Toc26648465"/>
      <w:bookmarkStart w:id="26" w:name="_Toc17233333"/>
      <w:bookmarkStart w:id="27" w:name="_Toc26986530"/>
      <w:bookmarkStart w:id="28" w:name="_Toc26718930"/>
      <w:bookmarkStart w:id="29" w:name="_Toc24884218"/>
      <w:bookmarkStart w:id="30" w:name="_Toc17233325"/>
      <w:bookmarkStart w:id="31" w:name="_Toc24884211"/>
      <w:bookmarkStart w:id="32" w:name="_Toc97192964"/>
      <w:bookmarkStart w:id="33" w:name="_Toc26986771"/>
      <w:r>
        <w:rPr>
          <w:rFonts w:hint="eastAsia"/>
        </w:rPr>
        <w:t>范围</w:t>
      </w:r>
      <w:bookmarkEnd w:id="25"/>
      <w:bookmarkEnd w:id="26"/>
      <w:bookmarkEnd w:id="27"/>
      <w:bookmarkEnd w:id="28"/>
      <w:bookmarkEnd w:id="29"/>
      <w:bookmarkEnd w:id="30"/>
      <w:bookmarkEnd w:id="31"/>
      <w:bookmarkEnd w:id="32"/>
      <w:bookmarkEnd w:id="33"/>
    </w:p>
    <w:p w14:paraId="58B9E652">
      <w:pPr>
        <w:pStyle w:val="59"/>
        <w:ind w:firstLine="420"/>
      </w:pPr>
      <w:bookmarkStart w:id="34" w:name="_Toc26648466"/>
      <w:bookmarkStart w:id="35" w:name="_Toc24884219"/>
      <w:bookmarkStart w:id="36" w:name="_Toc17233326"/>
      <w:bookmarkStart w:id="37" w:name="_Toc24884212"/>
      <w:bookmarkStart w:id="38" w:name="_Toc17233334"/>
      <w:r>
        <w:rPr>
          <w:rFonts w:hint="eastAsia"/>
        </w:rPr>
        <w:t>本文件规定了贵州省望谟县生产的芒果（以下简称“望谟芒果”）包装与标识的基本要求、包装要求、标识要求等内容。</w:t>
      </w:r>
    </w:p>
    <w:p w14:paraId="6EC5C5C8">
      <w:pPr>
        <w:pStyle w:val="59"/>
        <w:ind w:firstLine="420"/>
      </w:pPr>
      <w:r>
        <w:rPr>
          <w:rFonts w:hint="eastAsia"/>
        </w:rPr>
        <w:t>本文件适用于望谟县行政区域内生产销售的芒果鲜果的包装与标识。</w:t>
      </w:r>
    </w:p>
    <w:p w14:paraId="34417C5F">
      <w:pPr>
        <w:pStyle w:val="107"/>
        <w:spacing w:before="240" w:after="240"/>
        <w:ind w:left="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F4D25F2">
          <w:pPr>
            <w:pStyle w:val="59"/>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B5A228">
      <w:pPr>
        <w:pStyle w:val="59"/>
        <w:ind w:firstLine="420"/>
        <w:rPr>
          <w:rFonts w:ascii="Times New Roman"/>
        </w:rPr>
      </w:pPr>
      <w:r>
        <w:rPr>
          <w:rFonts w:ascii="Times New Roman"/>
        </w:rPr>
        <w:t xml:space="preserve">GB/T 191 </w:t>
      </w:r>
      <w:r>
        <w:rPr>
          <w:rFonts w:hint="eastAsia" w:ascii="Times New Roman"/>
        </w:rPr>
        <w:t xml:space="preserve"> </w:t>
      </w:r>
      <w:r>
        <w:rPr>
          <w:rFonts w:ascii="Times New Roman"/>
        </w:rPr>
        <w:t>包装储运图示标志</w:t>
      </w:r>
    </w:p>
    <w:p w14:paraId="1C1AD24B">
      <w:pPr>
        <w:pStyle w:val="59"/>
        <w:ind w:firstLine="420"/>
        <w:rPr>
          <w:rFonts w:ascii="Times New Roman"/>
        </w:rPr>
      </w:pPr>
      <w:r>
        <w:rPr>
          <w:rFonts w:ascii="Times New Roman"/>
        </w:rPr>
        <w:t xml:space="preserve">GB 4806.7 </w:t>
      </w:r>
      <w:r>
        <w:rPr>
          <w:rFonts w:hint="eastAsia" w:ascii="Times New Roman"/>
        </w:rPr>
        <w:t xml:space="preserve"> </w:t>
      </w:r>
      <w:r>
        <w:rPr>
          <w:rFonts w:ascii="Times New Roman"/>
        </w:rPr>
        <w:t>食品安全国家标准 食品接触用塑料材料及制品</w:t>
      </w:r>
    </w:p>
    <w:p w14:paraId="4C024117">
      <w:pPr>
        <w:pStyle w:val="59"/>
        <w:ind w:firstLine="420"/>
        <w:rPr>
          <w:rFonts w:ascii="Times New Roman"/>
        </w:rPr>
      </w:pPr>
      <w:r>
        <w:rPr>
          <w:rFonts w:ascii="Times New Roman"/>
        </w:rPr>
        <w:t xml:space="preserve">GB/T 4892 </w:t>
      </w:r>
      <w:r>
        <w:rPr>
          <w:rFonts w:hint="eastAsia" w:ascii="Times New Roman"/>
        </w:rPr>
        <w:t xml:space="preserve"> </w:t>
      </w:r>
      <w:r>
        <w:rPr>
          <w:rFonts w:ascii="Times New Roman"/>
        </w:rPr>
        <w:t>硬质直方体运输包装尺寸系列</w:t>
      </w:r>
    </w:p>
    <w:p w14:paraId="0D87F1E4">
      <w:pPr>
        <w:pStyle w:val="59"/>
        <w:ind w:firstLine="420"/>
        <w:rPr>
          <w:rFonts w:ascii="Times New Roman"/>
        </w:rPr>
      </w:pPr>
      <w:r>
        <w:rPr>
          <w:rFonts w:ascii="Times New Roman"/>
        </w:rPr>
        <w:t xml:space="preserve">GB 7718 </w:t>
      </w:r>
      <w:r>
        <w:rPr>
          <w:rFonts w:hint="eastAsia" w:ascii="Times New Roman"/>
        </w:rPr>
        <w:t xml:space="preserve"> </w:t>
      </w:r>
      <w:r>
        <w:rPr>
          <w:rFonts w:ascii="Times New Roman"/>
        </w:rPr>
        <w:t>食品安全国家标准 预包装食品标签通则</w:t>
      </w:r>
    </w:p>
    <w:p w14:paraId="335765D6">
      <w:pPr>
        <w:pStyle w:val="59"/>
        <w:ind w:firstLine="420"/>
        <w:rPr>
          <w:rFonts w:ascii="Times New Roman"/>
        </w:rPr>
      </w:pPr>
      <w:r>
        <w:rPr>
          <w:rFonts w:ascii="Times New Roman"/>
        </w:rPr>
        <w:t xml:space="preserve">GB/T 13201 </w:t>
      </w:r>
      <w:r>
        <w:rPr>
          <w:rFonts w:hint="eastAsia" w:ascii="Times New Roman"/>
        </w:rPr>
        <w:t xml:space="preserve"> </w:t>
      </w:r>
      <w:r>
        <w:rPr>
          <w:rFonts w:ascii="Times New Roman"/>
        </w:rPr>
        <w:t>圆柱体运输包装尺寸系列</w:t>
      </w:r>
    </w:p>
    <w:p w14:paraId="3AEA8A73">
      <w:pPr>
        <w:pStyle w:val="59"/>
        <w:ind w:firstLine="420"/>
        <w:rPr>
          <w:rFonts w:ascii="Times New Roman"/>
        </w:rPr>
      </w:pPr>
      <w:r>
        <w:rPr>
          <w:rFonts w:ascii="Times New Roman"/>
        </w:rPr>
        <w:t xml:space="preserve">GB/T 15233 </w:t>
      </w:r>
      <w:r>
        <w:rPr>
          <w:rFonts w:hint="eastAsia" w:ascii="Times New Roman"/>
        </w:rPr>
        <w:t xml:space="preserve"> </w:t>
      </w:r>
      <w:r>
        <w:rPr>
          <w:rFonts w:ascii="Times New Roman"/>
        </w:rPr>
        <w:t>包装 单元货物尺寸</w:t>
      </w:r>
    </w:p>
    <w:p w14:paraId="52CE3119">
      <w:pPr>
        <w:pStyle w:val="59"/>
        <w:ind w:firstLine="420"/>
        <w:rPr>
          <w:rFonts w:ascii="Times New Roman"/>
        </w:rPr>
      </w:pPr>
      <w:r>
        <w:rPr>
          <w:rFonts w:ascii="Times New Roman"/>
        </w:rPr>
        <w:t xml:space="preserve">GB/T 16470 </w:t>
      </w:r>
      <w:r>
        <w:rPr>
          <w:rFonts w:hint="eastAsia" w:ascii="Times New Roman"/>
        </w:rPr>
        <w:t xml:space="preserve"> </w:t>
      </w:r>
      <w:r>
        <w:rPr>
          <w:rFonts w:ascii="Times New Roman"/>
        </w:rPr>
        <w:t>托盘单元货载</w:t>
      </w:r>
    </w:p>
    <w:p w14:paraId="4B3E6552">
      <w:pPr>
        <w:pStyle w:val="59"/>
        <w:ind w:firstLine="420"/>
        <w:rPr>
          <w:rFonts w:ascii="Times New Roman"/>
        </w:rPr>
      </w:pPr>
      <w:r>
        <w:rPr>
          <w:rFonts w:ascii="Times New Roman"/>
        </w:rPr>
        <w:t xml:space="preserve">GB/T 16716.1 </w:t>
      </w:r>
      <w:r>
        <w:rPr>
          <w:rFonts w:hint="eastAsia" w:ascii="Times New Roman"/>
        </w:rPr>
        <w:t xml:space="preserve"> </w:t>
      </w:r>
      <w:r>
        <w:rPr>
          <w:rFonts w:ascii="Times New Roman"/>
        </w:rPr>
        <w:t>包装与环境 第1部分：通则</w:t>
      </w:r>
    </w:p>
    <w:p w14:paraId="33C1E171">
      <w:pPr>
        <w:pStyle w:val="59"/>
        <w:ind w:firstLine="420"/>
        <w:rPr>
          <w:rFonts w:ascii="Times New Roman"/>
        </w:rPr>
      </w:pPr>
      <w:r>
        <w:rPr>
          <w:rFonts w:ascii="Times New Roman"/>
        </w:rPr>
        <w:t xml:space="preserve">GB/T 20197 </w:t>
      </w:r>
      <w:r>
        <w:rPr>
          <w:rFonts w:hint="eastAsia" w:ascii="Times New Roman"/>
        </w:rPr>
        <w:t xml:space="preserve"> </w:t>
      </w:r>
      <w:r>
        <w:rPr>
          <w:rFonts w:ascii="Times New Roman"/>
        </w:rPr>
        <w:t>降解塑料的定义、分类、标识和降解性能要求</w:t>
      </w:r>
    </w:p>
    <w:p w14:paraId="2FF2800C">
      <w:pPr>
        <w:pStyle w:val="59"/>
        <w:ind w:firstLine="420"/>
        <w:rPr>
          <w:rFonts w:ascii="Times New Roman"/>
        </w:rPr>
      </w:pPr>
      <w:r>
        <w:rPr>
          <w:rFonts w:ascii="Times New Roman"/>
        </w:rPr>
        <w:t xml:space="preserve">GB/T 29373 </w:t>
      </w:r>
      <w:r>
        <w:rPr>
          <w:rFonts w:hint="eastAsia" w:ascii="Times New Roman"/>
        </w:rPr>
        <w:t xml:space="preserve"> </w:t>
      </w:r>
      <w:r>
        <w:rPr>
          <w:rFonts w:ascii="Times New Roman"/>
        </w:rPr>
        <w:t>农产品追溯要求 果蔬</w:t>
      </w:r>
    </w:p>
    <w:p w14:paraId="05271797">
      <w:pPr>
        <w:pStyle w:val="59"/>
        <w:ind w:firstLine="420"/>
        <w:rPr>
          <w:rFonts w:ascii="Times New Roman"/>
        </w:rPr>
      </w:pPr>
      <w:r>
        <w:rPr>
          <w:rFonts w:ascii="Times New Roman"/>
        </w:rPr>
        <w:t xml:space="preserve">GB/T 31268 </w:t>
      </w:r>
      <w:r>
        <w:rPr>
          <w:rFonts w:hint="eastAsia" w:ascii="Times New Roman"/>
        </w:rPr>
        <w:t xml:space="preserve"> </w:t>
      </w:r>
      <w:r>
        <w:rPr>
          <w:rFonts w:ascii="Times New Roman"/>
        </w:rPr>
        <w:t>限制商品过度包装 通则</w:t>
      </w:r>
    </w:p>
    <w:p w14:paraId="47C0BD6B">
      <w:pPr>
        <w:pStyle w:val="59"/>
        <w:ind w:firstLine="420"/>
        <w:rPr>
          <w:rFonts w:ascii="Times New Roman"/>
        </w:rPr>
      </w:pPr>
      <w:r>
        <w:rPr>
          <w:rFonts w:ascii="Times New Roman"/>
        </w:rPr>
        <w:t xml:space="preserve">GB/T 32950 </w:t>
      </w:r>
      <w:r>
        <w:rPr>
          <w:rFonts w:hint="eastAsia" w:ascii="Times New Roman"/>
        </w:rPr>
        <w:t xml:space="preserve"> </w:t>
      </w:r>
      <w:r>
        <w:rPr>
          <w:rFonts w:ascii="Times New Roman"/>
        </w:rPr>
        <w:t>鲜活农产品标签标识</w:t>
      </w:r>
    </w:p>
    <w:p w14:paraId="482F893D">
      <w:pPr>
        <w:pStyle w:val="59"/>
        <w:ind w:firstLine="420"/>
        <w:rPr>
          <w:rFonts w:ascii="Times New Roman"/>
        </w:rPr>
      </w:pPr>
      <w:r>
        <w:rPr>
          <w:rFonts w:ascii="Times New Roman"/>
        </w:rPr>
        <w:t xml:space="preserve">GB 43284 </w:t>
      </w:r>
      <w:r>
        <w:rPr>
          <w:rFonts w:hint="eastAsia" w:ascii="Times New Roman"/>
        </w:rPr>
        <w:t xml:space="preserve"> </w:t>
      </w:r>
      <w:r>
        <w:rPr>
          <w:rFonts w:ascii="Times New Roman"/>
        </w:rPr>
        <w:t>限制商品过度包装要求 生鲜食用农产品</w:t>
      </w:r>
    </w:p>
    <w:p w14:paraId="62B0BB0E">
      <w:pPr>
        <w:pStyle w:val="59"/>
        <w:ind w:firstLine="420"/>
        <w:rPr>
          <w:rFonts w:ascii="Times New Roman"/>
        </w:rPr>
      </w:pPr>
      <w:r>
        <w:rPr>
          <w:rFonts w:ascii="Times New Roman"/>
        </w:rPr>
        <w:t xml:space="preserve">GB/T 44583 </w:t>
      </w:r>
      <w:r>
        <w:rPr>
          <w:rFonts w:hint="eastAsia" w:ascii="Times New Roman"/>
        </w:rPr>
        <w:t xml:space="preserve"> </w:t>
      </w:r>
      <w:r>
        <w:rPr>
          <w:rFonts w:ascii="Times New Roman"/>
        </w:rPr>
        <w:t>重要产品追溯 追溯码编码规范</w:t>
      </w:r>
    </w:p>
    <w:p w14:paraId="3104F662">
      <w:pPr>
        <w:pStyle w:val="59"/>
        <w:ind w:firstLine="420"/>
        <w:rPr>
          <w:rFonts w:ascii="Times New Roman"/>
        </w:rPr>
      </w:pPr>
      <w:r>
        <w:rPr>
          <w:rFonts w:ascii="Times New Roman"/>
        </w:rPr>
        <w:t xml:space="preserve">JJF 1070 </w:t>
      </w:r>
      <w:r>
        <w:rPr>
          <w:rFonts w:hint="eastAsia" w:ascii="Times New Roman"/>
        </w:rPr>
        <w:t xml:space="preserve"> </w:t>
      </w:r>
      <w:r>
        <w:rPr>
          <w:rFonts w:ascii="Times New Roman"/>
        </w:rPr>
        <w:t>定量包装商品净含量计量检验规则</w:t>
      </w:r>
    </w:p>
    <w:p w14:paraId="266CCF77">
      <w:pPr>
        <w:pStyle w:val="59"/>
        <w:ind w:firstLine="420"/>
        <w:rPr>
          <w:rFonts w:ascii="Times New Roman"/>
        </w:rPr>
      </w:pPr>
      <w:r>
        <w:rPr>
          <w:rFonts w:ascii="Times New Roman"/>
        </w:rPr>
        <w:t xml:space="preserve">NY/T 658 </w:t>
      </w:r>
      <w:r>
        <w:rPr>
          <w:rFonts w:hint="eastAsia" w:ascii="Times New Roman"/>
        </w:rPr>
        <w:t xml:space="preserve"> </w:t>
      </w:r>
      <w:r>
        <w:rPr>
          <w:rFonts w:ascii="Times New Roman"/>
        </w:rPr>
        <w:t>绿色食品 包装通用准则</w:t>
      </w:r>
    </w:p>
    <w:p w14:paraId="375FD51C">
      <w:pPr>
        <w:pStyle w:val="107"/>
        <w:spacing w:before="240" w:after="240"/>
        <w:ind w:left="0"/>
      </w:pPr>
      <w:bookmarkStart w:id="43" w:name="_Toc97192966"/>
      <w:r>
        <w:rPr>
          <w:rFonts w:hint="eastAsia"/>
          <w:szCs w:val="21"/>
        </w:rPr>
        <w:t>术语和定义</w:t>
      </w:r>
      <w:bookmarkEnd w:id="43"/>
    </w:p>
    <w:sdt>
      <w:sdtPr>
        <w:id w:val="147476316"/>
        <w:placeholder>
          <w:docPart w:val="EF842793D7364FEE9EEA5FC1636E3F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7F5495">
          <w:pPr>
            <w:pStyle w:val="59"/>
            <w:ind w:firstLine="420"/>
          </w:pPr>
          <w:bookmarkStart w:id="44" w:name="_Toc26986532"/>
          <w:bookmarkEnd w:id="44"/>
          <w:r>
            <w:t>下列术语和定义适用于本文件。</w:t>
          </w:r>
        </w:p>
      </w:sdtContent>
    </w:sdt>
    <w:p w14:paraId="19DCC7ED">
      <w:pPr>
        <w:pStyle w:val="226"/>
        <w:spacing w:before="120" w:beforeLines="50" w:after="120" w:afterLines="50"/>
        <w:ind w:left="420" w:hanging="420" w:hangingChars="200"/>
        <w:rPr>
          <w:rFonts w:hint="eastAsia" w:ascii="黑体" w:hAnsi="黑体" w:eastAsia="黑体"/>
        </w:rPr>
      </w:pPr>
    </w:p>
    <w:p w14:paraId="45EE82E0">
      <w:pPr>
        <w:pStyle w:val="226"/>
        <w:numPr>
          <w:ilvl w:val="0"/>
          <w:numId w:val="0"/>
        </w:numPr>
        <w:ind w:left="420"/>
        <w:rPr>
          <w:rFonts w:hint="eastAsia" w:ascii="黑体" w:hAnsi="黑体" w:eastAsia="黑体"/>
        </w:rPr>
      </w:pPr>
      <w:r>
        <w:rPr>
          <w:rFonts w:hint="eastAsia" w:ascii="黑体" w:hAnsi="黑体" w:eastAsia="黑体"/>
        </w:rPr>
        <w:t xml:space="preserve">望谟芒果 </w:t>
      </w:r>
      <w:r>
        <w:rPr>
          <w:rFonts w:hint="eastAsia" w:ascii="Times New Roman" w:eastAsia="黑体"/>
        </w:rPr>
        <w:t>Wangmo Mango</w:t>
      </w:r>
      <w:r>
        <w:rPr>
          <w:rFonts w:hint="eastAsia" w:ascii="黑体" w:hAnsi="黑体" w:eastAsia="黑体"/>
        </w:rPr>
        <w:t xml:space="preserve"> </w:t>
      </w:r>
    </w:p>
    <w:p w14:paraId="6A1F928E">
      <w:pPr>
        <w:pStyle w:val="59"/>
        <w:spacing w:line="400" w:lineRule="exact"/>
        <w:ind w:firstLine="420"/>
        <w:rPr>
          <w:rFonts w:ascii="Times New Roman"/>
        </w:rPr>
      </w:pPr>
      <w:r>
        <w:rPr>
          <w:rFonts w:hint="eastAsia"/>
        </w:rPr>
        <w:t>贵州省望谟县行政区域内生产销售的芒果。</w:t>
      </w:r>
      <w:r>
        <w:rPr>
          <w:rFonts w:hint="eastAsia" w:ascii="Times New Roman"/>
        </w:rPr>
        <w:t xml:space="preserve"> </w:t>
      </w:r>
    </w:p>
    <w:p w14:paraId="584640DA">
      <w:pPr>
        <w:pStyle w:val="226"/>
        <w:spacing w:before="120" w:beforeLines="50" w:after="120" w:afterLines="50"/>
        <w:ind w:left="420" w:hanging="420" w:hangingChars="200"/>
        <w:rPr>
          <w:rFonts w:hint="eastAsia" w:ascii="黑体" w:hAnsi="黑体" w:eastAsia="黑体"/>
        </w:rPr>
      </w:pPr>
    </w:p>
    <w:p w14:paraId="1A32E149">
      <w:pPr>
        <w:pStyle w:val="226"/>
        <w:numPr>
          <w:ilvl w:val="0"/>
          <w:numId w:val="0"/>
        </w:numPr>
        <w:ind w:left="420"/>
        <w:rPr>
          <w:rFonts w:hint="eastAsia" w:ascii="黑体" w:hAnsi="黑体" w:eastAsia="黑体"/>
        </w:rPr>
      </w:pPr>
      <w:r>
        <w:rPr>
          <w:rFonts w:hint="eastAsia" w:ascii="黑体" w:hAnsi="黑体" w:eastAsia="黑体"/>
        </w:rPr>
        <w:t xml:space="preserve">可追溯标识 Traceability label </w:t>
      </w:r>
    </w:p>
    <w:p w14:paraId="2CF96B30">
      <w:pPr>
        <w:pStyle w:val="59"/>
        <w:spacing w:line="400" w:lineRule="exact"/>
        <w:ind w:firstLine="420"/>
        <w:rPr>
          <w:rFonts w:ascii="Times New Roman"/>
        </w:rPr>
      </w:pPr>
      <w:r>
        <w:rPr>
          <w:rFonts w:hint="eastAsia"/>
        </w:rPr>
        <w:t>含种植主体、产地坐标、农事记录等数据的二维码标签。</w:t>
      </w:r>
      <w:r>
        <w:rPr>
          <w:rFonts w:hint="eastAsia" w:ascii="Times New Roman"/>
        </w:rPr>
        <w:t xml:space="preserve"> </w:t>
      </w:r>
    </w:p>
    <w:p w14:paraId="7791D6B8">
      <w:pPr>
        <w:pStyle w:val="226"/>
        <w:spacing w:before="120" w:beforeLines="50" w:after="120" w:afterLines="50"/>
        <w:ind w:left="420" w:hanging="420" w:hangingChars="200"/>
        <w:rPr>
          <w:rFonts w:hint="eastAsia" w:ascii="黑体" w:hAnsi="黑体" w:eastAsia="黑体"/>
        </w:rPr>
      </w:pPr>
    </w:p>
    <w:p w14:paraId="30E73938">
      <w:pPr>
        <w:pStyle w:val="59"/>
        <w:spacing w:line="400" w:lineRule="exact"/>
        <w:ind w:firstLine="420"/>
        <w:rPr>
          <w:rFonts w:hint="eastAsia" w:ascii="黑体" w:hAnsi="黑体" w:eastAsia="黑体"/>
        </w:rPr>
      </w:pPr>
      <w:r>
        <w:rPr>
          <w:rFonts w:hint="eastAsia" w:ascii="黑体" w:hAnsi="黑体" w:eastAsia="黑体"/>
        </w:rPr>
        <w:t>减量化 reduction</w:t>
      </w:r>
    </w:p>
    <w:p w14:paraId="318AF43C">
      <w:pPr>
        <w:pStyle w:val="59"/>
        <w:spacing w:line="400" w:lineRule="exact"/>
        <w:ind w:firstLine="420"/>
        <w:rPr>
          <w:rFonts w:ascii="Times New Roman"/>
        </w:rPr>
      </w:pPr>
      <w:r>
        <w:rPr>
          <w:rFonts w:hint="eastAsia"/>
        </w:rPr>
        <w:t>在保证盛装、保护、运输、贮存和销售的功能前提下，尽量减少包装物材料使用的总量。</w:t>
      </w:r>
      <w:r>
        <w:rPr>
          <w:rFonts w:hint="eastAsia" w:ascii="Times New Roman"/>
        </w:rPr>
        <w:t xml:space="preserve"> </w:t>
      </w:r>
    </w:p>
    <w:p w14:paraId="3AC861F0">
      <w:pPr>
        <w:pStyle w:val="107"/>
        <w:spacing w:before="240" w:after="240"/>
        <w:ind w:left="0"/>
      </w:pPr>
      <w:r>
        <w:rPr>
          <w:rFonts w:hint="eastAsia"/>
        </w:rPr>
        <w:t>基本要求</w:t>
      </w:r>
    </w:p>
    <w:p w14:paraId="3461FA3F">
      <w:pPr>
        <w:pStyle w:val="165"/>
        <w:rPr>
          <w:rFonts w:hint="eastAsia"/>
        </w:rPr>
      </w:pPr>
      <w:r>
        <w:rPr>
          <w:rFonts w:hint="eastAsia"/>
        </w:rPr>
        <w:t>标识应规范清晰，不得含有虚假、错误或者其他误导性内容。所用图示标志应符合GB/T 191和GB/T 32950的规定。</w:t>
      </w:r>
    </w:p>
    <w:p w14:paraId="2DCA165C">
      <w:pPr>
        <w:pStyle w:val="165"/>
        <w:rPr>
          <w:rFonts w:hint="eastAsia"/>
        </w:rPr>
      </w:pPr>
      <w:r>
        <w:rPr>
          <w:rFonts w:hint="eastAsia"/>
        </w:rPr>
        <w:t>芒果质量应符合相关产品标准的规定，包装前应先修整，留果柄2-3cm，切口平滑，防止芒果渗液。</w:t>
      </w:r>
    </w:p>
    <w:p w14:paraId="3CC8883C">
      <w:pPr>
        <w:pStyle w:val="165"/>
        <w:rPr>
          <w:rFonts w:hint="eastAsia"/>
        </w:rPr>
      </w:pPr>
      <w:r>
        <w:rPr>
          <w:rFonts w:hint="eastAsia"/>
        </w:rPr>
        <w:t>按相关芒果产品标准分级，同一包装容器内芒果应产地相同、采收期相同、品种相同、等级相同。</w:t>
      </w:r>
    </w:p>
    <w:p w14:paraId="741F4434">
      <w:pPr>
        <w:pStyle w:val="182"/>
      </w:pPr>
      <w:r>
        <w:rPr>
          <w:rFonts w:hint="eastAsia"/>
        </w:rPr>
        <w:t>组合包装水果可不在此列。</w:t>
      </w:r>
    </w:p>
    <w:p w14:paraId="6E8879FF">
      <w:pPr>
        <w:pStyle w:val="107"/>
        <w:spacing w:before="240" w:after="240"/>
        <w:ind w:left="0"/>
      </w:pPr>
      <w:r>
        <w:rPr>
          <w:rFonts w:hint="eastAsia"/>
        </w:rPr>
        <w:t>包装要求</w:t>
      </w:r>
    </w:p>
    <w:p w14:paraId="04BD1643">
      <w:pPr>
        <w:pStyle w:val="108"/>
        <w:spacing w:before="120" w:after="120"/>
        <w:ind w:left="0"/>
      </w:pPr>
      <w:r>
        <w:rPr>
          <w:rFonts w:hint="eastAsia"/>
        </w:rPr>
        <w:t>包装环境</w:t>
      </w:r>
    </w:p>
    <w:p w14:paraId="650BCE19">
      <w:pPr>
        <w:pStyle w:val="59"/>
        <w:ind w:firstLine="420"/>
      </w:pPr>
      <w:r>
        <w:rPr>
          <w:rFonts w:hint="eastAsia"/>
        </w:rPr>
        <w:t>包装场地应卫生清洁、防潮、防雨、防晒、通风，温度保持在11-13℃‌，湿度‌85-90%。</w:t>
      </w:r>
    </w:p>
    <w:p w14:paraId="10EE730C">
      <w:pPr>
        <w:pStyle w:val="108"/>
        <w:spacing w:before="120" w:after="120"/>
        <w:ind w:left="0"/>
      </w:pPr>
      <w:r>
        <w:rPr>
          <w:rFonts w:hint="eastAsia"/>
        </w:rPr>
        <w:t>包装材料</w:t>
      </w:r>
    </w:p>
    <w:p w14:paraId="26C03E4C">
      <w:pPr>
        <w:pStyle w:val="168"/>
      </w:pPr>
      <w:r>
        <w:rPr>
          <w:rFonts w:hint="eastAsia"/>
        </w:rPr>
        <w:t>鼓励采用绿色包装，优先使用可循环再生、可回收利用、易降解的材料。包装使用降解塑料应符合GB/T 20197的规定。</w:t>
      </w:r>
    </w:p>
    <w:p w14:paraId="3822A028">
      <w:pPr>
        <w:pStyle w:val="168"/>
        <w:rPr>
          <w:rFonts w:hint="eastAsia"/>
        </w:rPr>
      </w:pPr>
      <w:r>
        <w:rPr>
          <w:rFonts w:hint="eastAsia"/>
        </w:rPr>
        <w:t>包装印刷的油墨或粘合剂应无毒，且不可直接接触产品。包装和包装材料中铅、镉、汞和六价铬的总含量应符合 GB/T 16716.1 的规定。</w:t>
      </w:r>
    </w:p>
    <w:p w14:paraId="2367015D">
      <w:pPr>
        <w:pStyle w:val="168"/>
        <w:rPr>
          <w:rFonts w:hint="eastAsia"/>
        </w:rPr>
      </w:pPr>
      <w:r>
        <w:rPr>
          <w:rFonts w:hint="eastAsia"/>
        </w:rPr>
        <w:t>塑料包装不应使用含氟氯烃化合物（CFS）的发泡聚苯乙烯（EPS）、聚氨酯（PUR）等产品，使用的聚氯乙烯（PVC）制品，其单体含量应符合 GB 4806.7 的规定。绿色食品水果生产包装不得使用聚氯乙烯（PVC）作为材料。</w:t>
      </w:r>
    </w:p>
    <w:p w14:paraId="41AC16AA">
      <w:pPr>
        <w:pStyle w:val="168"/>
        <w:rPr>
          <w:rFonts w:hint="eastAsia"/>
        </w:rPr>
      </w:pPr>
      <w:r>
        <w:rPr>
          <w:rFonts w:hint="eastAsia"/>
        </w:rPr>
        <w:t>包装容器以及容器内支撑物和衬垫物应结实、洁净、无毒、无害，包装容器的种类、材料和适用范围见附录表A.1。</w:t>
      </w:r>
    </w:p>
    <w:p w14:paraId="01EE5559">
      <w:pPr>
        <w:pStyle w:val="168"/>
        <w:rPr>
          <w:rFonts w:hint="eastAsia"/>
        </w:rPr>
      </w:pPr>
      <w:r>
        <w:rPr>
          <w:rFonts w:hint="eastAsia"/>
        </w:rPr>
        <w:t>包装容器应能承受：来自上方容器的压力；贮存、运输和搬运过程中的挤压和振动；预冷、贮存和运输过程中的高湿。</w:t>
      </w:r>
    </w:p>
    <w:p w14:paraId="2F4CE5CA">
      <w:pPr>
        <w:pStyle w:val="168"/>
        <w:rPr>
          <w:rFonts w:hint="eastAsia"/>
        </w:rPr>
      </w:pPr>
      <w:r>
        <w:rPr>
          <w:rFonts w:hint="eastAsia"/>
        </w:rPr>
        <w:t>获得绿色食品认证并作为绿色食品销售的新鲜水果，其包装还应符合NY/T 658的要求。</w:t>
      </w:r>
    </w:p>
    <w:p w14:paraId="3418418A">
      <w:pPr>
        <w:pStyle w:val="108"/>
        <w:spacing w:before="120" w:after="120"/>
        <w:ind w:left="0"/>
      </w:pPr>
      <w:r>
        <w:rPr>
          <w:rFonts w:hint="eastAsia"/>
        </w:rPr>
        <w:t>包装规格</w:t>
      </w:r>
    </w:p>
    <w:p w14:paraId="21971CBB">
      <w:pPr>
        <w:pStyle w:val="168"/>
        <w:rPr>
          <w:rFonts w:hint="eastAsia"/>
        </w:rPr>
      </w:pPr>
      <w:r>
        <w:rPr>
          <w:rFonts w:hint="eastAsia"/>
        </w:rPr>
        <w:t>运输包装件尺寸应符合GB/T 4892、GB/T 13201的规定。</w:t>
      </w:r>
    </w:p>
    <w:p w14:paraId="3D36045B">
      <w:pPr>
        <w:pStyle w:val="168"/>
        <w:rPr>
          <w:rFonts w:hint="eastAsia"/>
        </w:rPr>
      </w:pPr>
      <w:r>
        <w:rPr>
          <w:rFonts w:hint="eastAsia"/>
        </w:rPr>
        <w:t>包装单元应符合GB/T 15233的规定。</w:t>
      </w:r>
    </w:p>
    <w:p w14:paraId="5C51E967">
      <w:pPr>
        <w:pStyle w:val="168"/>
        <w:rPr>
          <w:rFonts w:hint="eastAsia"/>
        </w:rPr>
      </w:pPr>
      <w:r>
        <w:rPr>
          <w:rFonts w:hint="eastAsia"/>
        </w:rPr>
        <w:t>包装用物流托盘应符合GB/T 16470的规定。</w:t>
      </w:r>
    </w:p>
    <w:p w14:paraId="4D740629">
      <w:pPr>
        <w:pStyle w:val="168"/>
        <w:rPr>
          <w:rFonts w:hint="eastAsia"/>
        </w:rPr>
      </w:pPr>
      <w:r>
        <w:rPr>
          <w:rFonts w:hint="eastAsia"/>
        </w:rPr>
        <w:t>包装应科学合理，避免过度包装，包装层数、包装空隙率、包装成本等实行减量化，并符合GB 43284以及GB/T 31268的规定。</w:t>
      </w:r>
    </w:p>
    <w:p w14:paraId="771D2264">
      <w:pPr>
        <w:pStyle w:val="107"/>
        <w:spacing w:before="240" w:after="240"/>
        <w:ind w:left="0"/>
      </w:pPr>
      <w:r>
        <w:rPr>
          <w:rFonts w:hint="eastAsia"/>
        </w:rPr>
        <w:t>标识要求</w:t>
      </w:r>
    </w:p>
    <w:p w14:paraId="33BD4BD1">
      <w:pPr>
        <w:pStyle w:val="108"/>
        <w:spacing w:before="120" w:after="120"/>
        <w:ind w:left="0"/>
      </w:pPr>
      <w:r>
        <w:rPr>
          <w:rFonts w:hint="eastAsia"/>
        </w:rPr>
        <w:t>必须标注的内容</w:t>
      </w:r>
    </w:p>
    <w:p w14:paraId="00126393">
      <w:pPr>
        <w:pStyle w:val="68"/>
        <w:spacing w:before="120" w:after="120"/>
      </w:pPr>
      <w:r>
        <w:rPr>
          <w:rFonts w:hint="eastAsia"/>
        </w:rPr>
        <w:t>产品名称</w:t>
      </w:r>
    </w:p>
    <w:p w14:paraId="5C82BF4A">
      <w:pPr>
        <w:pStyle w:val="59"/>
        <w:ind w:firstLine="420"/>
      </w:pPr>
      <w:r>
        <w:rPr>
          <w:rFonts w:hint="eastAsia"/>
        </w:rPr>
        <w:t>应醒目标明“望谟芒果”，并标注具体品种名称（如“望谟芒果-台农1号”、“望谟芒果-金煌芒”等）。</w:t>
      </w:r>
    </w:p>
    <w:p w14:paraId="1EF15F44">
      <w:pPr>
        <w:pStyle w:val="68"/>
        <w:spacing w:before="120" w:after="120"/>
      </w:pPr>
      <w:r>
        <w:rPr>
          <w:rFonts w:hint="eastAsia"/>
        </w:rPr>
        <w:t>生产者、产地</w:t>
      </w:r>
    </w:p>
    <w:p w14:paraId="2CE06B9A">
      <w:pPr>
        <w:pStyle w:val="59"/>
        <w:ind w:firstLine="420"/>
      </w:pPr>
      <w:r>
        <w:rPr>
          <w:rFonts w:hint="eastAsia"/>
        </w:rPr>
        <w:t>应标明能承担产品质量安全责任的生产者或销售者等的名称、地址、联系电话以及产地信息。</w:t>
      </w:r>
    </w:p>
    <w:p w14:paraId="388CB9C1">
      <w:pPr>
        <w:pStyle w:val="68"/>
        <w:spacing w:before="120" w:after="120"/>
      </w:pPr>
      <w:r>
        <w:rPr>
          <w:rFonts w:hint="eastAsia"/>
        </w:rPr>
        <w:t>生产、包装日期</w:t>
      </w:r>
    </w:p>
    <w:p w14:paraId="09BEED8B">
      <w:pPr>
        <w:pStyle w:val="59"/>
        <w:ind w:firstLine="420"/>
      </w:pPr>
      <w:r>
        <w:rPr>
          <w:rFonts w:hint="eastAsia"/>
        </w:rPr>
        <w:t>应标明芒果收获日期以及包装日期，并按GB 7718的要求进行标注。</w:t>
      </w:r>
    </w:p>
    <w:p w14:paraId="7CABAB75">
      <w:pPr>
        <w:pStyle w:val="68"/>
        <w:spacing w:before="120" w:after="120"/>
      </w:pPr>
      <w:r>
        <w:rPr>
          <w:rFonts w:hint="eastAsia"/>
        </w:rPr>
        <w:t>贮存条件</w:t>
      </w:r>
    </w:p>
    <w:p w14:paraId="60DDB006">
      <w:pPr>
        <w:pStyle w:val="59"/>
        <w:ind w:firstLine="420"/>
      </w:pPr>
      <w:r>
        <w:rPr>
          <w:rFonts w:hint="eastAsia"/>
        </w:rPr>
        <w:t>应标明芒果的贮存条件，并按GB 7718的规定进行标注。</w:t>
      </w:r>
    </w:p>
    <w:p w14:paraId="33B6AE39">
      <w:pPr>
        <w:pStyle w:val="68"/>
        <w:spacing w:before="120" w:after="120"/>
      </w:pPr>
      <w:r>
        <w:rPr>
          <w:rFonts w:hint="eastAsia"/>
        </w:rPr>
        <w:t>净含量、等级和规格</w:t>
      </w:r>
    </w:p>
    <w:p w14:paraId="02468499">
      <w:pPr>
        <w:pStyle w:val="59"/>
        <w:ind w:firstLine="420"/>
      </w:pPr>
      <w:r>
        <w:rPr>
          <w:rFonts w:hint="eastAsia"/>
        </w:rPr>
        <w:t>净含量标识采用“千克（kg）、克（g）”等法定计量单位表示，并应符合JJF 1070的规定。按照本团体标准第1部分《产品标准》标明芒果质量等级和规格，如：特级、一级、二级。</w:t>
      </w:r>
    </w:p>
    <w:p w14:paraId="6659846C">
      <w:pPr>
        <w:pStyle w:val="68"/>
        <w:spacing w:before="120" w:after="120"/>
      </w:pPr>
      <w:r>
        <w:rPr>
          <w:rFonts w:hint="eastAsia"/>
        </w:rPr>
        <w:t>质量认证标识</w:t>
      </w:r>
    </w:p>
    <w:p w14:paraId="133A0ED6">
      <w:pPr>
        <w:pStyle w:val="59"/>
        <w:ind w:firstLine="420"/>
      </w:pPr>
      <w:r>
        <w:rPr>
          <w:rFonts w:hint="eastAsia"/>
        </w:rPr>
        <w:t>如获得绿色、有机、地理标志或其他认证等，应按相应规定的要求进行标识，并标注相应标志和发证机构。</w:t>
      </w:r>
    </w:p>
    <w:p w14:paraId="3557EBEE">
      <w:pPr>
        <w:pStyle w:val="68"/>
        <w:spacing w:before="120" w:after="120"/>
      </w:pPr>
      <w:r>
        <w:rPr>
          <w:rFonts w:hint="eastAsia"/>
        </w:rPr>
        <w:t>安全标识</w:t>
      </w:r>
    </w:p>
    <w:p w14:paraId="0902C82E">
      <w:pPr>
        <w:pStyle w:val="59"/>
        <w:ind w:firstLine="420"/>
      </w:pPr>
      <w:r>
        <w:rPr>
          <w:rFonts w:hint="eastAsia"/>
        </w:rPr>
        <w:t>若在生产、贮存、配送、销售等过程中使用保鲜剂、防腐剂的，应当标明所使用物质的名称。</w:t>
      </w:r>
    </w:p>
    <w:p w14:paraId="4AC64176">
      <w:pPr>
        <w:pStyle w:val="108"/>
        <w:spacing w:before="120" w:after="120"/>
        <w:ind w:left="0"/>
      </w:pPr>
      <w:r>
        <w:rPr>
          <w:rFonts w:hint="eastAsia"/>
        </w:rPr>
        <w:t>推荐标注的内容</w:t>
      </w:r>
    </w:p>
    <w:p w14:paraId="32CA20E9">
      <w:pPr>
        <w:pStyle w:val="68"/>
        <w:spacing w:before="120" w:after="120"/>
      </w:pPr>
      <w:r>
        <w:rPr>
          <w:rFonts w:hint="eastAsia"/>
        </w:rPr>
        <w:t>商标</w:t>
      </w:r>
    </w:p>
    <w:p w14:paraId="0F5D6AB5">
      <w:pPr>
        <w:pStyle w:val="59"/>
        <w:ind w:firstLine="420"/>
      </w:pPr>
      <w:r>
        <w:rPr>
          <w:rFonts w:hint="eastAsia"/>
        </w:rPr>
        <w:t>标注经国家商标主管部门注册登记的商标。</w:t>
      </w:r>
    </w:p>
    <w:p w14:paraId="0DD34FFD">
      <w:pPr>
        <w:pStyle w:val="68"/>
        <w:spacing w:before="120" w:after="120"/>
      </w:pPr>
      <w:r>
        <w:rPr>
          <w:rFonts w:hint="eastAsia"/>
        </w:rPr>
        <w:t>商品条码</w:t>
      </w:r>
    </w:p>
    <w:p w14:paraId="7EB05328">
      <w:pPr>
        <w:pStyle w:val="59"/>
        <w:ind w:firstLine="420"/>
      </w:pPr>
      <w:r>
        <w:rPr>
          <w:rFonts w:hint="eastAsia"/>
        </w:rPr>
        <w:t>相关要求见国家质量监督检验检疫总局令2005年第76号《商品条码管理办法》的规定。</w:t>
      </w:r>
    </w:p>
    <w:p w14:paraId="4D7312DA">
      <w:pPr>
        <w:pStyle w:val="68"/>
        <w:spacing w:before="120" w:after="120"/>
      </w:pPr>
      <w:r>
        <w:rPr>
          <w:rFonts w:hint="eastAsia"/>
        </w:rPr>
        <w:t>食用方法</w:t>
      </w:r>
    </w:p>
    <w:p w14:paraId="52A70FA2">
      <w:pPr>
        <w:pStyle w:val="59"/>
        <w:ind w:firstLine="420"/>
      </w:pPr>
      <w:r>
        <w:rPr>
          <w:rFonts w:hint="eastAsia"/>
        </w:rPr>
        <w:t>标明水果的正确食用方法。</w:t>
      </w:r>
    </w:p>
    <w:p w14:paraId="6E0F9CE7">
      <w:pPr>
        <w:pStyle w:val="68"/>
        <w:spacing w:before="120" w:after="120"/>
      </w:pPr>
      <w:r>
        <w:rPr>
          <w:rFonts w:hint="eastAsia"/>
        </w:rPr>
        <w:t>追溯码</w:t>
      </w:r>
    </w:p>
    <w:p w14:paraId="68034F10">
      <w:pPr>
        <w:pStyle w:val="59"/>
        <w:ind w:firstLine="420"/>
      </w:pPr>
      <w:r>
        <w:rPr>
          <w:rFonts w:hint="eastAsia"/>
        </w:rPr>
        <w:t>应符合GB/T 44583的规定。被追溯的芒果可根据追溯码追溯到芒果的种植、管理、投入品信息及相关责任主体、采后处理、贮存、运输、销售等环节。追溯要求按照GB/T 29373的规定执行。</w:t>
      </w:r>
    </w:p>
    <w:p w14:paraId="61FD1079">
      <w:pPr>
        <w:pStyle w:val="59"/>
        <w:ind w:firstLine="420"/>
      </w:pPr>
    </w:p>
    <w:p w14:paraId="446DCEDE">
      <w:pPr>
        <w:pStyle w:val="59"/>
        <w:ind w:firstLine="420"/>
      </w:pPr>
    </w:p>
    <w:p w14:paraId="43A5FD7B">
      <w:pPr>
        <w:pStyle w:val="59"/>
        <w:ind w:firstLine="420"/>
      </w:pPr>
    </w:p>
    <w:p w14:paraId="51FA2190">
      <w:pPr>
        <w:pStyle w:val="59"/>
        <w:ind w:firstLine="420"/>
      </w:pPr>
    </w:p>
    <w:p w14:paraId="03E66EE7">
      <w:pPr>
        <w:pStyle w:val="59"/>
        <w:ind w:firstLine="420"/>
      </w:pPr>
    </w:p>
    <w:p w14:paraId="3A394260">
      <w:pPr>
        <w:pStyle w:val="59"/>
        <w:ind w:firstLine="420"/>
      </w:pPr>
    </w:p>
    <w:p w14:paraId="41B42807">
      <w:pPr>
        <w:pStyle w:val="59"/>
        <w:ind w:firstLine="420"/>
      </w:pPr>
    </w:p>
    <w:p w14:paraId="796C2F9B">
      <w:pPr>
        <w:pStyle w:val="59"/>
        <w:ind w:firstLine="420"/>
        <w:sectPr>
          <w:pgSz w:w="11906" w:h="16838"/>
          <w:pgMar w:top="1928" w:right="1134" w:bottom="1134" w:left="1134" w:header="1418" w:footer="1134" w:gutter="284"/>
          <w:cols w:space="425" w:num="1"/>
          <w:formProt w:val="0"/>
          <w:docGrid w:linePitch="312" w:charSpace="0"/>
        </w:sectPr>
      </w:pPr>
    </w:p>
    <w:bookmarkEnd w:id="23"/>
    <w:p w14:paraId="37707580">
      <w:pPr>
        <w:pStyle w:val="201"/>
      </w:pPr>
      <w:bookmarkStart w:id="45" w:name="BookMark5"/>
    </w:p>
    <w:p w14:paraId="3B759E7F">
      <w:pPr>
        <w:pStyle w:val="202"/>
      </w:pPr>
    </w:p>
    <w:p w14:paraId="52213B9B">
      <w:pPr>
        <w:pStyle w:val="79"/>
        <w:rPr>
          <w:rFonts w:hint="eastAsia"/>
        </w:rPr>
      </w:pPr>
      <w:r>
        <w:br w:type="textWrapping"/>
      </w:r>
      <w:r>
        <w:rPr>
          <w:rFonts w:hint="eastAsia"/>
        </w:rPr>
        <w:t>（资料性）</w:t>
      </w:r>
      <w:r>
        <w:br w:type="textWrapping"/>
      </w:r>
      <w:r>
        <w:rPr>
          <w:rFonts w:hint="eastAsia"/>
        </w:rPr>
        <w:t>包装容器的种类及材料</w:t>
      </w:r>
    </w:p>
    <w:p w14:paraId="0810F1D9">
      <w:pPr>
        <w:pStyle w:val="59"/>
        <w:ind w:firstLine="0" w:firstLineChars="0"/>
      </w:pPr>
      <w:r>
        <w:rPr>
          <w:rFonts w:hint="eastAsia"/>
        </w:rPr>
        <w:t>包装容器的种类及材料见表A.1</w:t>
      </w:r>
    </w:p>
    <w:p w14:paraId="0D1ABE7E">
      <w:pPr>
        <w:pStyle w:val="59"/>
        <w:ind w:firstLine="420"/>
        <w:jc w:val="center"/>
      </w:pPr>
      <w:r>
        <w:rPr>
          <w:rFonts w:hint="eastAsia"/>
        </w:rPr>
        <w:t>表A.1 包装容器的种类及材料</w:t>
      </w:r>
    </w:p>
    <w:tbl>
      <w:tblPr>
        <w:tblStyle w:val="29"/>
        <w:tblW w:w="398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03"/>
        <w:gridCol w:w="2171"/>
        <w:gridCol w:w="3548"/>
      </w:tblGrid>
      <w:tr w14:paraId="76C59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Borders>
              <w:top w:val="single" w:color="auto" w:sz="4" w:space="0"/>
              <w:bottom w:val="single" w:color="auto" w:sz="4" w:space="0"/>
            </w:tcBorders>
          </w:tcPr>
          <w:p w14:paraId="560AA524">
            <w:pPr>
              <w:pStyle w:val="59"/>
              <w:ind w:firstLine="420"/>
            </w:pPr>
            <w:r>
              <w:rPr>
                <w:rFonts w:hint="eastAsia"/>
              </w:rPr>
              <w:t>包装种类</w:t>
            </w:r>
          </w:p>
        </w:tc>
        <w:tc>
          <w:tcPr>
            <w:tcW w:w="1424" w:type="pct"/>
            <w:tcBorders>
              <w:top w:val="single" w:color="auto" w:sz="4" w:space="0"/>
              <w:bottom w:val="single" w:color="auto" w:sz="4" w:space="0"/>
            </w:tcBorders>
          </w:tcPr>
          <w:p w14:paraId="716E26D9">
            <w:pPr>
              <w:pStyle w:val="59"/>
              <w:ind w:firstLine="420"/>
            </w:pPr>
            <w:r>
              <w:rPr>
                <w:rFonts w:hint="eastAsia"/>
              </w:rPr>
              <w:t>包装材料</w:t>
            </w:r>
          </w:p>
        </w:tc>
        <w:tc>
          <w:tcPr>
            <w:tcW w:w="2327" w:type="pct"/>
            <w:tcBorders>
              <w:top w:val="single" w:color="auto" w:sz="4" w:space="0"/>
              <w:bottom w:val="single" w:color="auto" w:sz="4" w:space="0"/>
            </w:tcBorders>
          </w:tcPr>
          <w:p w14:paraId="29D54BB1">
            <w:pPr>
              <w:pStyle w:val="59"/>
              <w:ind w:firstLine="1260" w:firstLineChars="600"/>
            </w:pPr>
            <w:r>
              <w:rPr>
                <w:rFonts w:hint="eastAsia"/>
              </w:rPr>
              <w:t>作用</w:t>
            </w:r>
          </w:p>
        </w:tc>
      </w:tr>
      <w:tr w14:paraId="496D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Borders>
              <w:top w:val="single" w:color="auto" w:sz="4" w:space="0"/>
            </w:tcBorders>
          </w:tcPr>
          <w:p w14:paraId="1665BA87">
            <w:pPr>
              <w:pStyle w:val="59"/>
              <w:ind w:firstLine="0" w:firstLineChars="0"/>
              <w:jc w:val="left"/>
            </w:pPr>
            <w:r>
              <w:rPr>
                <w:rFonts w:hint="eastAsia"/>
              </w:rPr>
              <w:t>塑料箱</w:t>
            </w:r>
          </w:p>
        </w:tc>
        <w:tc>
          <w:tcPr>
            <w:tcW w:w="1424" w:type="pct"/>
            <w:tcBorders>
              <w:top w:val="single" w:color="auto" w:sz="4" w:space="0"/>
            </w:tcBorders>
          </w:tcPr>
          <w:p w14:paraId="57B198CB">
            <w:pPr>
              <w:pStyle w:val="59"/>
              <w:ind w:firstLine="0" w:firstLineChars="0"/>
              <w:jc w:val="left"/>
            </w:pPr>
            <w:r>
              <w:t>高密度聚乙烯</w:t>
            </w:r>
          </w:p>
        </w:tc>
        <w:tc>
          <w:tcPr>
            <w:tcW w:w="2327" w:type="pct"/>
            <w:tcBorders>
              <w:top w:val="single" w:color="auto" w:sz="4" w:space="0"/>
            </w:tcBorders>
          </w:tcPr>
          <w:p w14:paraId="533F9616">
            <w:pPr>
              <w:pStyle w:val="59"/>
              <w:ind w:firstLine="0" w:firstLineChars="0"/>
              <w:jc w:val="left"/>
            </w:pPr>
            <w:r>
              <w:rPr>
                <w:rFonts w:hint="eastAsia"/>
              </w:rPr>
              <w:t>衬垫，减少碰撞，缓冲震动</w:t>
            </w:r>
          </w:p>
        </w:tc>
      </w:tr>
      <w:tr w14:paraId="7BF0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Pr>
          <w:p w14:paraId="0F4127E6">
            <w:pPr>
              <w:pStyle w:val="59"/>
              <w:ind w:firstLine="0" w:firstLineChars="0"/>
              <w:jc w:val="left"/>
            </w:pPr>
            <w:r>
              <w:rPr>
                <w:rFonts w:hint="eastAsia"/>
              </w:rPr>
              <w:t>纸箱</w:t>
            </w:r>
          </w:p>
        </w:tc>
        <w:tc>
          <w:tcPr>
            <w:tcW w:w="1424" w:type="pct"/>
          </w:tcPr>
          <w:p w14:paraId="51A451D5">
            <w:pPr>
              <w:pStyle w:val="59"/>
              <w:ind w:firstLine="0" w:firstLineChars="0"/>
              <w:jc w:val="left"/>
            </w:pPr>
            <w:r>
              <w:t>瓦楞板纸</w:t>
            </w:r>
          </w:p>
        </w:tc>
        <w:tc>
          <w:tcPr>
            <w:tcW w:w="2327" w:type="pct"/>
          </w:tcPr>
          <w:p w14:paraId="27E449D2">
            <w:pPr>
              <w:pStyle w:val="59"/>
              <w:ind w:firstLine="0" w:firstLineChars="0"/>
              <w:jc w:val="left"/>
            </w:pPr>
            <w:r>
              <w:rPr>
                <w:rFonts w:hint="eastAsia"/>
              </w:rPr>
              <w:t>衬垫和分离水果，减少碰撞</w:t>
            </w:r>
          </w:p>
        </w:tc>
      </w:tr>
      <w:tr w14:paraId="5063E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Pr>
          <w:p w14:paraId="617F9E66">
            <w:pPr>
              <w:pStyle w:val="59"/>
              <w:ind w:firstLine="0" w:firstLineChars="0"/>
              <w:jc w:val="left"/>
            </w:pPr>
            <w:r>
              <w:rPr>
                <w:rFonts w:hint="eastAsia"/>
              </w:rPr>
              <w:t>纸袋</w:t>
            </w:r>
          </w:p>
        </w:tc>
        <w:tc>
          <w:tcPr>
            <w:tcW w:w="1424" w:type="pct"/>
          </w:tcPr>
          <w:p w14:paraId="77ECA690">
            <w:pPr>
              <w:pStyle w:val="59"/>
              <w:ind w:firstLine="0" w:firstLineChars="0"/>
              <w:jc w:val="left"/>
            </w:pPr>
            <w:r>
              <w:t>具有一定强度的纸张</w:t>
            </w:r>
          </w:p>
        </w:tc>
        <w:tc>
          <w:tcPr>
            <w:tcW w:w="2327" w:type="pct"/>
          </w:tcPr>
          <w:p w14:paraId="4CBED7A6">
            <w:pPr>
              <w:pStyle w:val="59"/>
              <w:ind w:firstLine="0" w:firstLineChars="0"/>
              <w:jc w:val="left"/>
            </w:pPr>
            <w:r>
              <w:rPr>
                <w:rFonts w:hint="eastAsia"/>
              </w:rPr>
              <w:t>衬垫，减少碰撞，缓冲震动，控制失水和呼吸，包装重量不宜超过2 kg</w:t>
            </w:r>
          </w:p>
        </w:tc>
      </w:tr>
      <w:tr w14:paraId="1D7A6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Pr>
          <w:p w14:paraId="238FA01D">
            <w:pPr>
              <w:pStyle w:val="59"/>
              <w:ind w:firstLine="0" w:firstLineChars="0"/>
              <w:jc w:val="left"/>
            </w:pPr>
            <w:r>
              <w:rPr>
                <w:rFonts w:hint="eastAsia"/>
              </w:rPr>
              <w:t>纸盒</w:t>
            </w:r>
          </w:p>
        </w:tc>
        <w:tc>
          <w:tcPr>
            <w:tcW w:w="1424" w:type="pct"/>
          </w:tcPr>
          <w:p w14:paraId="57FE2E8F">
            <w:pPr>
              <w:pStyle w:val="59"/>
              <w:ind w:firstLine="0" w:firstLineChars="0"/>
              <w:jc w:val="left"/>
            </w:pPr>
            <w:r>
              <w:rPr>
                <w:rFonts w:hint="eastAsia"/>
              </w:rPr>
              <w:t>具有一定强度的纸张</w:t>
            </w:r>
          </w:p>
        </w:tc>
        <w:tc>
          <w:tcPr>
            <w:tcW w:w="2327" w:type="pct"/>
          </w:tcPr>
          <w:p w14:paraId="4D4CFC5D">
            <w:pPr>
              <w:pStyle w:val="59"/>
              <w:ind w:firstLine="0" w:firstLineChars="0"/>
              <w:jc w:val="left"/>
            </w:pPr>
            <w:r>
              <w:rPr>
                <w:rFonts w:hint="eastAsia"/>
              </w:rPr>
              <w:t>分离水果、增大支撑</w:t>
            </w:r>
          </w:p>
        </w:tc>
      </w:tr>
      <w:tr w14:paraId="61BB2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Pr>
          <w:p w14:paraId="7B22168D">
            <w:pPr>
              <w:pStyle w:val="59"/>
              <w:ind w:firstLine="0" w:firstLineChars="0"/>
              <w:jc w:val="left"/>
            </w:pPr>
            <w:r>
              <w:rPr>
                <w:rFonts w:hint="eastAsia"/>
              </w:rPr>
              <w:t>板条箱</w:t>
            </w:r>
          </w:p>
        </w:tc>
        <w:tc>
          <w:tcPr>
            <w:tcW w:w="1424" w:type="pct"/>
          </w:tcPr>
          <w:p w14:paraId="65C80CB1">
            <w:pPr>
              <w:pStyle w:val="59"/>
              <w:ind w:firstLine="0" w:firstLineChars="0"/>
              <w:jc w:val="left"/>
            </w:pPr>
            <w:r>
              <w:rPr>
                <w:rFonts w:hint="eastAsia"/>
              </w:rPr>
              <w:t>木板条</w:t>
            </w:r>
          </w:p>
        </w:tc>
        <w:tc>
          <w:tcPr>
            <w:tcW w:w="2327" w:type="pct"/>
          </w:tcPr>
          <w:p w14:paraId="469BCAAD">
            <w:pPr>
              <w:pStyle w:val="59"/>
              <w:ind w:firstLine="0" w:firstLineChars="0"/>
              <w:jc w:val="left"/>
            </w:pPr>
            <w:r>
              <w:rPr>
                <w:rFonts w:hint="eastAsia"/>
              </w:rPr>
              <w:t>减少碰撞，缓冲震动</w:t>
            </w:r>
          </w:p>
        </w:tc>
      </w:tr>
      <w:tr w14:paraId="7BAA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Pr>
          <w:p w14:paraId="643A17ED">
            <w:pPr>
              <w:pStyle w:val="59"/>
              <w:ind w:firstLine="0" w:firstLineChars="0"/>
              <w:jc w:val="left"/>
            </w:pPr>
            <w:r>
              <w:rPr>
                <w:rFonts w:hint="eastAsia"/>
              </w:rPr>
              <w:t>网袋</w:t>
            </w:r>
          </w:p>
        </w:tc>
        <w:tc>
          <w:tcPr>
            <w:tcW w:w="1424" w:type="pct"/>
          </w:tcPr>
          <w:p w14:paraId="23B4CFA4">
            <w:pPr>
              <w:pStyle w:val="59"/>
              <w:ind w:firstLine="0" w:firstLineChars="0"/>
              <w:jc w:val="left"/>
            </w:pPr>
            <w:r>
              <w:rPr>
                <w:rFonts w:hint="eastAsia"/>
              </w:rPr>
              <w:t>天然纤维或合成纤维</w:t>
            </w:r>
          </w:p>
        </w:tc>
        <w:tc>
          <w:tcPr>
            <w:tcW w:w="2327" w:type="pct"/>
          </w:tcPr>
          <w:p w14:paraId="6A8E99AC">
            <w:pPr>
              <w:pStyle w:val="59"/>
              <w:ind w:firstLine="0" w:firstLineChars="0"/>
              <w:jc w:val="left"/>
            </w:pPr>
            <w:r>
              <w:rPr>
                <w:rFonts w:hint="eastAsia"/>
              </w:rPr>
              <w:t>衬垫，减少碰撞，缓冲震动</w:t>
            </w:r>
          </w:p>
        </w:tc>
      </w:tr>
      <w:tr w14:paraId="6F41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Pr>
          <w:p w14:paraId="4E5345BA">
            <w:pPr>
              <w:pStyle w:val="59"/>
              <w:ind w:firstLine="0" w:firstLineChars="0"/>
              <w:jc w:val="left"/>
            </w:pPr>
            <w:r>
              <w:rPr>
                <w:rFonts w:hint="eastAsia"/>
              </w:rPr>
              <w:t>塑料托盘与塑料膜组成包装</w:t>
            </w:r>
          </w:p>
        </w:tc>
        <w:tc>
          <w:tcPr>
            <w:tcW w:w="1424" w:type="pct"/>
          </w:tcPr>
          <w:p w14:paraId="6BA6C383">
            <w:pPr>
              <w:pStyle w:val="59"/>
              <w:ind w:firstLine="0" w:firstLineChars="0"/>
              <w:jc w:val="left"/>
            </w:pPr>
            <w:r>
              <w:rPr>
                <w:rFonts w:hint="eastAsia"/>
              </w:rPr>
              <w:t>聚乙烯</w:t>
            </w:r>
          </w:p>
        </w:tc>
        <w:tc>
          <w:tcPr>
            <w:tcW w:w="2327" w:type="pct"/>
          </w:tcPr>
          <w:p w14:paraId="77A77BB6">
            <w:pPr>
              <w:pStyle w:val="59"/>
              <w:ind w:firstLine="0" w:firstLineChars="0"/>
              <w:jc w:val="left"/>
            </w:pPr>
            <w:r>
              <w:rPr>
                <w:rFonts w:hint="eastAsia"/>
              </w:rPr>
              <w:t>衬垫，减少碰撞，缓冲震动，控制失水和呼吸</w:t>
            </w:r>
          </w:p>
        </w:tc>
      </w:tr>
      <w:tr w14:paraId="4B7E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48" w:type="pct"/>
            <w:tcBorders>
              <w:bottom w:val="single" w:color="auto" w:sz="4" w:space="0"/>
            </w:tcBorders>
          </w:tcPr>
          <w:p w14:paraId="4FB524D0">
            <w:pPr>
              <w:pStyle w:val="59"/>
              <w:ind w:firstLine="0" w:firstLineChars="0"/>
              <w:jc w:val="left"/>
            </w:pPr>
            <w:r>
              <w:rPr>
                <w:rFonts w:hint="eastAsia"/>
              </w:rPr>
              <w:t>泡沫塑料箱</w:t>
            </w:r>
          </w:p>
        </w:tc>
        <w:tc>
          <w:tcPr>
            <w:tcW w:w="1424" w:type="pct"/>
            <w:tcBorders>
              <w:bottom w:val="single" w:color="auto" w:sz="4" w:space="0"/>
            </w:tcBorders>
          </w:tcPr>
          <w:p w14:paraId="73521B32">
            <w:pPr>
              <w:pStyle w:val="59"/>
              <w:ind w:firstLine="0" w:firstLineChars="0"/>
              <w:jc w:val="left"/>
            </w:pPr>
            <w:r>
              <w:rPr>
                <w:rFonts w:hint="eastAsia"/>
              </w:rPr>
              <w:t>聚苯乙烯</w:t>
            </w:r>
          </w:p>
        </w:tc>
        <w:tc>
          <w:tcPr>
            <w:tcW w:w="2327" w:type="pct"/>
            <w:tcBorders>
              <w:bottom w:val="single" w:color="auto" w:sz="4" w:space="0"/>
            </w:tcBorders>
          </w:tcPr>
          <w:p w14:paraId="2FEA52FD">
            <w:pPr>
              <w:pStyle w:val="59"/>
              <w:ind w:firstLine="0" w:firstLineChars="0"/>
              <w:jc w:val="left"/>
            </w:pPr>
            <w:r>
              <w:rPr>
                <w:rFonts w:hint="eastAsia"/>
              </w:rPr>
              <w:t>减少碰撞，缓冲震动</w:t>
            </w:r>
          </w:p>
        </w:tc>
      </w:tr>
    </w:tbl>
    <w:p w14:paraId="4DB27738">
      <w:pPr>
        <w:pStyle w:val="59"/>
        <w:ind w:firstLine="420"/>
        <w:sectPr>
          <w:pgSz w:w="11906" w:h="16838"/>
          <w:pgMar w:top="1928" w:right="1134" w:bottom="1134" w:left="1134" w:header="1418" w:footer="1134" w:gutter="284"/>
          <w:cols w:space="425" w:num="1"/>
          <w:formProt w:val="0"/>
          <w:docGrid w:linePitch="312" w:charSpace="0"/>
        </w:sectPr>
      </w:pPr>
    </w:p>
    <w:p w14:paraId="5294816D">
      <w:pPr>
        <w:pStyle w:val="79"/>
      </w:pPr>
      <w:r>
        <w:br w:type="textWrapping"/>
      </w:r>
      <w:r>
        <w:rPr>
          <w:rFonts w:hint="eastAsia"/>
        </w:rPr>
        <w:t>（资料性）</w:t>
      </w:r>
      <w:r>
        <w:br w:type="textWrapping"/>
      </w:r>
      <w:r>
        <w:rPr>
          <w:rFonts w:hint="eastAsia"/>
        </w:rPr>
        <w:t>望谟芒果包装标识示例图</w:t>
      </w:r>
    </w:p>
    <w:p w14:paraId="26360386">
      <w:pPr>
        <w:pStyle w:val="59"/>
        <w:ind w:firstLine="420"/>
        <w:rPr>
          <w:rFonts w:hint="eastAsia"/>
        </w:rPr>
      </w:pPr>
      <w:r>
        <w:rPr>
          <w:rFonts w:hint="eastAsia"/>
        </w:rPr>
        <w:t>望谟芒果包装标识示例图见B.1。</w:t>
      </w:r>
    </w:p>
    <w:p w14:paraId="0131E5C1">
      <w:pPr>
        <w:pStyle w:val="80"/>
        <w:spacing w:before="120" w:after="120"/>
      </w:pPr>
      <w:r>
        <w:rPr>
          <w:rFonts w:hint="eastAsia"/>
        </w:rPr>
        <w:t>望谟芒果包装标识示例图[外箱正面]</w:t>
      </w:r>
    </w:p>
    <w:tbl>
      <w:tblPr>
        <w:tblStyle w:val="29"/>
        <w:tblW w:w="0" w:type="auto"/>
        <w:tblInd w:w="7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5"/>
        <w:gridCol w:w="1999"/>
        <w:gridCol w:w="1826"/>
        <w:gridCol w:w="2004"/>
      </w:tblGrid>
      <w:tr w14:paraId="46C9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854" w:type="dxa"/>
            <w:gridSpan w:val="4"/>
            <w:vAlign w:val="center"/>
          </w:tcPr>
          <w:p w14:paraId="7247C7D2">
            <w:pPr>
              <w:pStyle w:val="59"/>
              <w:ind w:firstLine="0" w:firstLineChars="0"/>
              <w:jc w:val="center"/>
            </w:pPr>
            <w:r>
              <w:rPr>
                <w:rFonts w:hint="eastAsia"/>
                <w:b/>
                <w:bCs/>
                <w:sz w:val="32"/>
                <w:szCs w:val="28"/>
              </w:rPr>
              <w:t>望谟芒果-品种名</w:t>
            </w:r>
          </w:p>
        </w:tc>
      </w:tr>
      <w:tr w14:paraId="23AA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14:paraId="42B174D7">
            <w:pPr>
              <w:pStyle w:val="59"/>
              <w:ind w:firstLine="0" w:firstLineChars="0"/>
            </w:pPr>
            <w:r>
              <w:rPr>
                <w:rFonts w:hint="eastAsia"/>
              </w:rPr>
              <w:t>地理标志登记证号</w:t>
            </w:r>
          </w:p>
        </w:tc>
        <w:tc>
          <w:tcPr>
            <w:tcW w:w="1999" w:type="dxa"/>
          </w:tcPr>
          <w:p w14:paraId="2CDC2AC8">
            <w:pPr>
              <w:pStyle w:val="59"/>
              <w:ind w:firstLine="420"/>
            </w:pPr>
            <w:r>
              <w:rPr>
                <w:rFonts w:hint="eastAsia"/>
              </w:rPr>
              <w:t xml:space="preserve">XXXXXX </w:t>
            </w:r>
          </w:p>
        </w:tc>
        <w:tc>
          <w:tcPr>
            <w:tcW w:w="1826" w:type="dxa"/>
          </w:tcPr>
          <w:p w14:paraId="156209DC">
            <w:pPr>
              <w:pStyle w:val="59"/>
              <w:ind w:firstLine="0" w:firstLineChars="0"/>
            </w:pPr>
            <w:r>
              <w:rPr>
                <w:rFonts w:hint="eastAsia"/>
              </w:rPr>
              <w:t>净含量</w:t>
            </w:r>
          </w:p>
        </w:tc>
        <w:tc>
          <w:tcPr>
            <w:tcW w:w="2004" w:type="dxa"/>
          </w:tcPr>
          <w:p w14:paraId="6D20F02C">
            <w:pPr>
              <w:pStyle w:val="59"/>
              <w:ind w:firstLine="210" w:firstLineChars="100"/>
            </w:pPr>
            <w:r>
              <w:rPr>
                <w:rFonts w:hint="eastAsia"/>
              </w:rPr>
              <w:t>XXXkg (±XX%)</w:t>
            </w:r>
          </w:p>
        </w:tc>
      </w:tr>
      <w:tr w14:paraId="59BD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14:paraId="65735D5C">
            <w:pPr>
              <w:pStyle w:val="59"/>
              <w:ind w:firstLine="0" w:firstLineChars="0"/>
            </w:pPr>
            <w:r>
              <w:rPr>
                <w:rFonts w:hint="eastAsia"/>
              </w:rPr>
              <w:t>等级</w:t>
            </w:r>
          </w:p>
        </w:tc>
        <w:tc>
          <w:tcPr>
            <w:tcW w:w="1999" w:type="dxa"/>
          </w:tcPr>
          <w:p w14:paraId="15D18CDC">
            <w:pPr>
              <w:pStyle w:val="59"/>
              <w:ind w:firstLine="0" w:firstLineChars="0"/>
            </w:pPr>
            <w:r>
              <w:rPr>
                <w:rFonts w:hint="eastAsia"/>
              </w:rPr>
              <w:t>特级/一级/二级</w:t>
            </w:r>
          </w:p>
        </w:tc>
        <w:tc>
          <w:tcPr>
            <w:tcW w:w="1826" w:type="dxa"/>
          </w:tcPr>
          <w:p w14:paraId="23157FC2">
            <w:pPr>
              <w:pStyle w:val="59"/>
              <w:ind w:firstLine="0" w:firstLineChars="0"/>
            </w:pPr>
            <w:r>
              <w:rPr>
                <w:rFonts w:hint="eastAsia"/>
              </w:rPr>
              <w:t>生产者/经销商</w:t>
            </w:r>
          </w:p>
        </w:tc>
        <w:tc>
          <w:tcPr>
            <w:tcW w:w="2004" w:type="dxa"/>
          </w:tcPr>
          <w:p w14:paraId="0AD2F2EC">
            <w:pPr>
              <w:pStyle w:val="59"/>
              <w:ind w:firstLine="420"/>
            </w:pPr>
            <w:r>
              <w:rPr>
                <w:rFonts w:hint="eastAsia"/>
              </w:rPr>
              <w:t>XXXX</w:t>
            </w:r>
          </w:p>
        </w:tc>
      </w:tr>
      <w:tr w14:paraId="003D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14:paraId="680A9BE8">
            <w:pPr>
              <w:pStyle w:val="59"/>
              <w:ind w:firstLine="0" w:firstLineChars="0"/>
            </w:pPr>
            <w:r>
              <w:rPr>
                <w:rFonts w:hint="eastAsia"/>
              </w:rPr>
              <w:t>产地</w:t>
            </w:r>
          </w:p>
        </w:tc>
        <w:tc>
          <w:tcPr>
            <w:tcW w:w="1999" w:type="dxa"/>
          </w:tcPr>
          <w:p w14:paraId="7A0C1355">
            <w:pPr>
              <w:pStyle w:val="59"/>
              <w:ind w:firstLine="420"/>
            </w:pPr>
            <w:r>
              <w:rPr>
                <w:rFonts w:hint="eastAsia"/>
              </w:rPr>
              <w:t xml:space="preserve">XXXXXX  </w:t>
            </w:r>
          </w:p>
        </w:tc>
        <w:tc>
          <w:tcPr>
            <w:tcW w:w="1826" w:type="dxa"/>
          </w:tcPr>
          <w:p w14:paraId="3C4E8DFA">
            <w:pPr>
              <w:pStyle w:val="59"/>
              <w:ind w:firstLine="0" w:firstLineChars="0"/>
            </w:pPr>
            <w:r>
              <w:rPr>
                <w:rFonts w:hint="eastAsia"/>
              </w:rPr>
              <w:t>产品执行标准</w:t>
            </w:r>
          </w:p>
        </w:tc>
        <w:tc>
          <w:tcPr>
            <w:tcW w:w="2004" w:type="dxa"/>
          </w:tcPr>
          <w:p w14:paraId="2CA99174">
            <w:pPr>
              <w:pStyle w:val="59"/>
              <w:ind w:firstLine="420"/>
            </w:pPr>
            <w:r>
              <w:rPr>
                <w:rFonts w:hint="eastAsia"/>
              </w:rPr>
              <w:t>GB/T XX</w:t>
            </w:r>
          </w:p>
        </w:tc>
      </w:tr>
      <w:tr w14:paraId="2E45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14:paraId="60456C31">
            <w:pPr>
              <w:pStyle w:val="59"/>
              <w:ind w:firstLine="0" w:firstLineChars="0"/>
            </w:pPr>
            <w:r>
              <w:rPr>
                <w:rFonts w:hint="eastAsia"/>
              </w:rPr>
              <w:t>规格/大小</w:t>
            </w:r>
          </w:p>
        </w:tc>
        <w:tc>
          <w:tcPr>
            <w:tcW w:w="1999" w:type="dxa"/>
          </w:tcPr>
          <w:p w14:paraId="625488FD">
            <w:pPr>
              <w:pStyle w:val="59"/>
              <w:ind w:firstLine="420"/>
            </w:pPr>
            <w:r>
              <w:rPr>
                <w:rFonts w:hint="eastAsia"/>
              </w:rPr>
              <w:t>xxxxx</w:t>
            </w:r>
          </w:p>
        </w:tc>
        <w:tc>
          <w:tcPr>
            <w:tcW w:w="1826" w:type="dxa"/>
          </w:tcPr>
          <w:p w14:paraId="60183D6E">
            <w:pPr>
              <w:pStyle w:val="59"/>
              <w:ind w:firstLine="0" w:firstLineChars="0"/>
            </w:pPr>
            <w:r>
              <w:rPr>
                <w:rFonts w:hint="eastAsia"/>
              </w:rPr>
              <w:t>最佳食用期</w:t>
            </w:r>
          </w:p>
        </w:tc>
        <w:tc>
          <w:tcPr>
            <w:tcW w:w="2004" w:type="dxa"/>
          </w:tcPr>
          <w:p w14:paraId="1CF997E7">
            <w:pPr>
              <w:pStyle w:val="59"/>
              <w:ind w:firstLine="210" w:firstLineChars="100"/>
            </w:pPr>
            <w:r>
              <w:rPr>
                <w:rFonts w:hint="eastAsia"/>
              </w:rPr>
              <w:t>20XX-XX-XX前</w:t>
            </w:r>
          </w:p>
        </w:tc>
      </w:tr>
      <w:tr w14:paraId="03DF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14:paraId="326E0634">
            <w:pPr>
              <w:pStyle w:val="59"/>
              <w:ind w:firstLine="0" w:firstLineChars="0"/>
            </w:pPr>
            <w:r>
              <w:rPr>
                <w:rFonts w:hint="eastAsia"/>
              </w:rPr>
              <w:t>生产包装日期</w:t>
            </w:r>
          </w:p>
        </w:tc>
        <w:tc>
          <w:tcPr>
            <w:tcW w:w="1999" w:type="dxa"/>
          </w:tcPr>
          <w:p w14:paraId="41F0D188">
            <w:pPr>
              <w:pStyle w:val="59"/>
              <w:ind w:firstLine="210" w:firstLineChars="100"/>
            </w:pPr>
            <w:r>
              <w:rPr>
                <w:rFonts w:hint="eastAsia"/>
              </w:rPr>
              <w:t xml:space="preserve">20XX-XX-XX </w:t>
            </w:r>
          </w:p>
        </w:tc>
        <w:tc>
          <w:tcPr>
            <w:tcW w:w="1826" w:type="dxa"/>
          </w:tcPr>
          <w:p w14:paraId="4EA323AD">
            <w:pPr>
              <w:pStyle w:val="59"/>
              <w:ind w:firstLine="0" w:firstLineChars="0"/>
            </w:pPr>
            <w:r>
              <w:rPr>
                <w:rFonts w:hint="eastAsia"/>
              </w:rPr>
              <w:t>贮存条件</w:t>
            </w:r>
          </w:p>
        </w:tc>
        <w:tc>
          <w:tcPr>
            <w:tcW w:w="2004" w:type="dxa"/>
          </w:tcPr>
          <w:p w14:paraId="639C7272">
            <w:pPr>
              <w:pStyle w:val="59"/>
              <w:ind w:firstLine="420"/>
            </w:pPr>
            <w:r>
              <w:rPr>
                <w:rFonts w:hint="eastAsia"/>
              </w:rPr>
              <w:t xml:space="preserve">XXXXX </w:t>
            </w:r>
          </w:p>
        </w:tc>
      </w:tr>
      <w:tr w14:paraId="7A84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tcPr>
          <w:p w14:paraId="2D8C2077">
            <w:pPr>
              <w:pStyle w:val="59"/>
              <w:ind w:firstLine="0" w:firstLineChars="0"/>
            </w:pPr>
            <w:r>
              <w:rPr>
                <w:rFonts w:hint="eastAsia"/>
              </w:rPr>
              <w:t>追溯信息</w:t>
            </w:r>
          </w:p>
        </w:tc>
        <w:tc>
          <w:tcPr>
            <w:tcW w:w="1999" w:type="dxa"/>
          </w:tcPr>
          <w:p w14:paraId="73C6319F">
            <w:pPr>
              <w:pStyle w:val="59"/>
              <w:ind w:firstLine="420"/>
            </w:pPr>
            <w:r>
              <w:rPr>
                <w:rFonts w:hint="eastAsia"/>
              </w:rPr>
              <w:drawing>
                <wp:inline distT="0" distB="0" distL="114300" distR="114300">
                  <wp:extent cx="548640" cy="548640"/>
                  <wp:effectExtent l="0" t="0" r="3810" b="3810"/>
                  <wp:docPr id="3" name="44B7C0F4-79DB-4F8B-9303-0E098D69D8BE-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4B7C0F4-79DB-4F8B-9303-0E098D69D8BE-1" descr="wps"/>
                          <pic:cNvPicPr>
                            <a:picLocks noChangeAspect="1"/>
                          </pic:cNvPicPr>
                        </pic:nvPicPr>
                        <pic:blipFill>
                          <a:blip r:embed="rId16"/>
                          <a:stretch>
                            <a:fillRect/>
                          </a:stretch>
                        </pic:blipFill>
                        <pic:spPr>
                          <a:xfrm flipV="1">
                            <a:off x="0" y="0"/>
                            <a:ext cx="548640" cy="548640"/>
                          </a:xfrm>
                          <a:prstGeom prst="rect">
                            <a:avLst/>
                          </a:prstGeom>
                        </pic:spPr>
                      </pic:pic>
                    </a:graphicData>
                  </a:graphic>
                </wp:inline>
              </w:drawing>
            </w:r>
          </w:p>
        </w:tc>
        <w:tc>
          <w:tcPr>
            <w:tcW w:w="1826" w:type="dxa"/>
          </w:tcPr>
          <w:p w14:paraId="156A8A0A">
            <w:pPr>
              <w:pStyle w:val="59"/>
              <w:ind w:firstLine="420"/>
            </w:pPr>
          </w:p>
        </w:tc>
        <w:tc>
          <w:tcPr>
            <w:tcW w:w="2004" w:type="dxa"/>
          </w:tcPr>
          <w:p w14:paraId="333E5D0D">
            <w:pPr>
              <w:pStyle w:val="59"/>
              <w:ind w:firstLine="420"/>
            </w:pPr>
          </w:p>
        </w:tc>
      </w:tr>
    </w:tbl>
    <w:p w14:paraId="6CA00528">
      <w:pPr>
        <w:pStyle w:val="59"/>
        <w:ind w:firstLine="420"/>
        <w:sectPr>
          <w:pgSz w:w="11906" w:h="16838"/>
          <w:pgMar w:top="1928" w:right="1134" w:bottom="1134" w:left="1134" w:header="1418" w:footer="1134" w:gutter="284"/>
          <w:cols w:space="425" w:num="1"/>
          <w:formProt w:val="0"/>
          <w:docGrid w:linePitch="312" w:charSpace="0"/>
        </w:sectPr>
      </w:pPr>
    </w:p>
    <w:p w14:paraId="51F2C3AB">
      <w:pPr>
        <w:pStyle w:val="201"/>
        <w:rPr>
          <w:rFonts w:hint="eastAsia"/>
        </w:rPr>
      </w:pPr>
    </w:p>
    <w:p w14:paraId="694965F0">
      <w:pPr>
        <w:pStyle w:val="202"/>
      </w:pPr>
    </w:p>
    <w:p w14:paraId="7D0A0A30">
      <w:pPr>
        <w:pStyle w:val="201"/>
        <w:rPr>
          <w:rFonts w:hint="eastAsia"/>
        </w:rPr>
      </w:pPr>
    </w:p>
    <w:p w14:paraId="36106D9E">
      <w:pPr>
        <w:pStyle w:val="202"/>
        <w:rPr>
          <w:rFonts w:hint="eastAsia"/>
        </w:rPr>
      </w:pPr>
    </w:p>
    <w:p w14:paraId="54FA8B84">
      <w:pPr>
        <w:pStyle w:val="79"/>
        <w:rPr>
          <w:rFonts w:hint="eastAsia"/>
        </w:rPr>
      </w:pPr>
      <w:r>
        <w:br w:type="textWrapping"/>
      </w:r>
      <w:r>
        <w:rPr>
          <w:rFonts w:hint="eastAsia"/>
        </w:rPr>
        <w:t>（规范性）</w:t>
      </w:r>
      <w:r>
        <w:br w:type="textWrapping"/>
      </w:r>
      <w:r>
        <w:rPr>
          <w:rFonts w:hint="eastAsia"/>
        </w:rPr>
        <w:t>望谟芒果追溯信息建议内容</w:t>
      </w:r>
    </w:p>
    <w:p w14:paraId="764753C1">
      <w:pPr>
        <w:pStyle w:val="59"/>
        <w:ind w:firstLine="199" w:firstLineChars="95"/>
      </w:pPr>
      <w:r>
        <w:rPr>
          <w:rFonts w:hint="eastAsia"/>
        </w:rPr>
        <w:t>望谟芒果追溯信息建议内容如下：</w:t>
      </w:r>
    </w:p>
    <w:p w14:paraId="296512CB">
      <w:pPr>
        <w:pStyle w:val="59"/>
        <w:ind w:firstLine="420"/>
      </w:pPr>
      <w:r>
        <w:rPr>
          <w:rFonts w:hint="eastAsia"/>
        </w:rPr>
        <w:t>a）生产者名称/农场名称</w:t>
      </w:r>
    </w:p>
    <w:p w14:paraId="258EBD01">
      <w:pPr>
        <w:pStyle w:val="59"/>
        <w:ind w:firstLine="420"/>
      </w:pPr>
      <w:r>
        <w:rPr>
          <w:rFonts w:hint="eastAsia"/>
        </w:rPr>
        <w:t>b）生产基地位置（地块信息）</w:t>
      </w:r>
    </w:p>
    <w:p w14:paraId="6FF59F3C">
      <w:pPr>
        <w:pStyle w:val="59"/>
        <w:ind w:firstLine="420"/>
      </w:pPr>
      <w:r>
        <w:rPr>
          <w:rFonts w:hint="eastAsia"/>
        </w:rPr>
        <w:t>c）品种</w:t>
      </w:r>
    </w:p>
    <w:p w14:paraId="3CEAB2C3">
      <w:pPr>
        <w:pStyle w:val="59"/>
        <w:ind w:firstLine="420"/>
      </w:pPr>
      <w:r>
        <w:rPr>
          <w:rFonts w:hint="eastAsia"/>
        </w:rPr>
        <w:t>d）采收日期</w:t>
      </w:r>
    </w:p>
    <w:p w14:paraId="12D8C752">
      <w:pPr>
        <w:pStyle w:val="59"/>
        <w:ind w:firstLine="420"/>
      </w:pPr>
      <w:r>
        <w:rPr>
          <w:rFonts w:hint="eastAsia"/>
        </w:rPr>
        <w:t>e）包装日期</w:t>
      </w:r>
    </w:p>
    <w:p w14:paraId="21635E85">
      <w:pPr>
        <w:pStyle w:val="59"/>
        <w:ind w:firstLine="420"/>
      </w:pPr>
      <w:r>
        <w:rPr>
          <w:rFonts w:hint="eastAsia"/>
        </w:rPr>
        <w:t>f）质量等级</w:t>
      </w:r>
    </w:p>
    <w:p w14:paraId="7C2DE3F6">
      <w:pPr>
        <w:pStyle w:val="59"/>
        <w:ind w:firstLine="420"/>
      </w:pPr>
      <w:r>
        <w:rPr>
          <w:rFonts w:hint="eastAsia"/>
        </w:rPr>
        <w:t>g）农事操作记录概要（如施肥、用药关键节点，符合规范）</w:t>
      </w:r>
    </w:p>
    <w:p w14:paraId="078F57CC">
      <w:pPr>
        <w:pStyle w:val="59"/>
        <w:ind w:firstLine="420"/>
      </w:pPr>
      <w:r>
        <w:rPr>
          <w:rFonts w:hint="eastAsia"/>
        </w:rPr>
        <w:t>h）质量安全检测报告（如农药残留检测合格报告）编号或结论</w:t>
      </w:r>
    </w:p>
    <w:p w14:paraId="4FFEE02E">
      <w:pPr>
        <w:pStyle w:val="59"/>
        <w:ind w:firstLine="420"/>
        <w:rPr>
          <w:rFonts w:hint="eastAsia"/>
        </w:rPr>
      </w:pPr>
      <w:r>
        <w:rPr>
          <w:rFonts w:hint="eastAsia"/>
        </w:rPr>
        <w:t>i）企业/合作社简介及联系方式</w:t>
      </w:r>
    </w:p>
    <w:p w14:paraId="298D9D9D">
      <w:pPr>
        <w:pStyle w:val="59"/>
        <w:ind w:firstLine="0" w:firstLineChars="0"/>
        <w:rPr>
          <w:rFonts w:hint="eastAsia"/>
        </w:rPr>
      </w:pPr>
    </w:p>
    <w:bookmarkEnd w:id="45"/>
    <w:p w14:paraId="437550FF">
      <w:pPr>
        <w:pStyle w:val="59"/>
        <w:ind w:firstLine="0" w:firstLineChars="0"/>
        <w:jc w:val="center"/>
      </w:pPr>
      <w:bookmarkStart w:id="46" w:name="BookMark8"/>
      <w:r>
        <w:rPr>
          <w:rFonts w:hint="eastAsia"/>
        </w:rPr>
        <w:drawing>
          <wp:inline distT="0" distB="0" distL="0" distR="0">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F679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12404">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F079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08716">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13690">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15ED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3E07C">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5CD7D">
    <w:pPr>
      <w:pStyle w:val="64"/>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1559"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283" w:firstLine="0"/>
      </w:pPr>
      <w:rPr>
        <w:rFonts w:hint="eastAsia" w:ascii="黑体" w:eastAsia="黑体"/>
        <w:b w:val="0"/>
        <w:i w:val="0"/>
        <w:sz w:val="21"/>
      </w:rPr>
    </w:lvl>
    <w:lvl w:ilvl="2" w:tentative="0">
      <w:start w:val="1"/>
      <w:numFmt w:val="decimal"/>
      <w:pStyle w:val="108"/>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dit="forms" w:enforcement="1" w:cryptProviderType="rsaAES" w:cryptAlgorithmClass="hash" w:cryptAlgorithmType="typeAny" w:cryptAlgorithmSid="14" w:cryptSpinCount="100000" w:hash="CN7tYtui2ZTfhMZePyup422G7yn4qZQ2TFsii9H0CW0b+nIM6HledGhMclQcB+CUB1DoAOSbwVU46trcP9jpsg==" w:salt="AHbZqcHR2CZO8o9+gxlWd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255"/>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316"/>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782"/>
    <w:rsid w:val="00DC5B90"/>
    <w:rsid w:val="00DD00FF"/>
    <w:rsid w:val="00DD0619"/>
    <w:rsid w:val="00DD07FB"/>
    <w:rsid w:val="00DD0F25"/>
    <w:rsid w:val="00DD25C6"/>
    <w:rsid w:val="00DD4FE5"/>
    <w:rsid w:val="00DD54B0"/>
    <w:rsid w:val="00DD57EE"/>
    <w:rsid w:val="00DD6BCC"/>
    <w:rsid w:val="00DE0A4B"/>
    <w:rsid w:val="00DE2410"/>
    <w:rsid w:val="00DE2939"/>
    <w:rsid w:val="00DE6E81"/>
    <w:rsid w:val="00DE703F"/>
    <w:rsid w:val="00DE7595"/>
    <w:rsid w:val="00DF1517"/>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8DB0F32"/>
    <w:rsid w:val="09BF353F"/>
    <w:rsid w:val="0D805B9A"/>
    <w:rsid w:val="0E77859C"/>
    <w:rsid w:val="0FA22032"/>
    <w:rsid w:val="0FB6CCB2"/>
    <w:rsid w:val="0FFD695C"/>
    <w:rsid w:val="13DB8D10"/>
    <w:rsid w:val="1BCC2ED2"/>
    <w:rsid w:val="1CEB4008"/>
    <w:rsid w:val="1EEC11A2"/>
    <w:rsid w:val="1EF60EBB"/>
    <w:rsid w:val="1FEE0F75"/>
    <w:rsid w:val="1FFBDE93"/>
    <w:rsid w:val="21136C15"/>
    <w:rsid w:val="25F6FEF9"/>
    <w:rsid w:val="26C82522"/>
    <w:rsid w:val="27FFE095"/>
    <w:rsid w:val="2BFFCDC6"/>
    <w:rsid w:val="2DEDB2EF"/>
    <w:rsid w:val="2EDFFB91"/>
    <w:rsid w:val="2FBF089C"/>
    <w:rsid w:val="2FDC5597"/>
    <w:rsid w:val="2FEF8310"/>
    <w:rsid w:val="353B69AA"/>
    <w:rsid w:val="36E7F03D"/>
    <w:rsid w:val="37FBA185"/>
    <w:rsid w:val="3A161252"/>
    <w:rsid w:val="3A9842F9"/>
    <w:rsid w:val="3BE95487"/>
    <w:rsid w:val="3CD7DDE3"/>
    <w:rsid w:val="3DDF0A4D"/>
    <w:rsid w:val="3DEF2D69"/>
    <w:rsid w:val="3DFD4DA9"/>
    <w:rsid w:val="3E7BF5F5"/>
    <w:rsid w:val="3E8D2401"/>
    <w:rsid w:val="3EDDA687"/>
    <w:rsid w:val="3EDF4826"/>
    <w:rsid w:val="3F7B4A06"/>
    <w:rsid w:val="3FA9E8E2"/>
    <w:rsid w:val="3FBF80AD"/>
    <w:rsid w:val="3FBFA440"/>
    <w:rsid w:val="3FCD53A1"/>
    <w:rsid w:val="3FDB9B36"/>
    <w:rsid w:val="3FFB9E2B"/>
    <w:rsid w:val="3FFF3D28"/>
    <w:rsid w:val="3FFFFA58"/>
    <w:rsid w:val="466F30A4"/>
    <w:rsid w:val="477F9C24"/>
    <w:rsid w:val="4ADF5269"/>
    <w:rsid w:val="4F6B71F5"/>
    <w:rsid w:val="4FDB18D3"/>
    <w:rsid w:val="4FDFAB1A"/>
    <w:rsid w:val="4FEF40BE"/>
    <w:rsid w:val="4FF758BB"/>
    <w:rsid w:val="53F3B778"/>
    <w:rsid w:val="54F5509B"/>
    <w:rsid w:val="577316B0"/>
    <w:rsid w:val="57E71456"/>
    <w:rsid w:val="583D9769"/>
    <w:rsid w:val="5BA2CC6D"/>
    <w:rsid w:val="5C3FE366"/>
    <w:rsid w:val="5C885101"/>
    <w:rsid w:val="5CFF08C8"/>
    <w:rsid w:val="5DE602A2"/>
    <w:rsid w:val="5E658493"/>
    <w:rsid w:val="5E6F9A86"/>
    <w:rsid w:val="5EAB2365"/>
    <w:rsid w:val="5EDDC48D"/>
    <w:rsid w:val="5EF33CE1"/>
    <w:rsid w:val="5F273C80"/>
    <w:rsid w:val="5F664066"/>
    <w:rsid w:val="5F89D2F3"/>
    <w:rsid w:val="5FAF3D47"/>
    <w:rsid w:val="5FEEFE71"/>
    <w:rsid w:val="5FFD78B8"/>
    <w:rsid w:val="5FFF3426"/>
    <w:rsid w:val="5FFFF62B"/>
    <w:rsid w:val="602E34A0"/>
    <w:rsid w:val="61FDECA2"/>
    <w:rsid w:val="63B38679"/>
    <w:rsid w:val="63FF257D"/>
    <w:rsid w:val="659EC932"/>
    <w:rsid w:val="65FF6810"/>
    <w:rsid w:val="670FEFEC"/>
    <w:rsid w:val="6737C290"/>
    <w:rsid w:val="69B3715A"/>
    <w:rsid w:val="6A2C6247"/>
    <w:rsid w:val="6AFF2F13"/>
    <w:rsid w:val="6B473B29"/>
    <w:rsid w:val="6B4FD044"/>
    <w:rsid w:val="6BFF55B0"/>
    <w:rsid w:val="6D6F4150"/>
    <w:rsid w:val="6DF72CA8"/>
    <w:rsid w:val="6DF9927F"/>
    <w:rsid w:val="6DFA2E24"/>
    <w:rsid w:val="6DFBA7FC"/>
    <w:rsid w:val="6E3F4EEC"/>
    <w:rsid w:val="6EA765ED"/>
    <w:rsid w:val="6EB9778F"/>
    <w:rsid w:val="6F73898E"/>
    <w:rsid w:val="6F7D9CA7"/>
    <w:rsid w:val="6FAF19E7"/>
    <w:rsid w:val="6FEF45A5"/>
    <w:rsid w:val="6FFEC004"/>
    <w:rsid w:val="6FFF70BD"/>
    <w:rsid w:val="6FFF8796"/>
    <w:rsid w:val="6FFFD3FC"/>
    <w:rsid w:val="71DE4DD6"/>
    <w:rsid w:val="737F3078"/>
    <w:rsid w:val="73EE501A"/>
    <w:rsid w:val="73F51FA0"/>
    <w:rsid w:val="73FF8EAE"/>
    <w:rsid w:val="74EB06F1"/>
    <w:rsid w:val="75EEF694"/>
    <w:rsid w:val="76AC1403"/>
    <w:rsid w:val="7797F865"/>
    <w:rsid w:val="77A6B166"/>
    <w:rsid w:val="77CE36FD"/>
    <w:rsid w:val="77DB72FF"/>
    <w:rsid w:val="77DF0624"/>
    <w:rsid w:val="77E73C9E"/>
    <w:rsid w:val="77E7A1AC"/>
    <w:rsid w:val="783D085B"/>
    <w:rsid w:val="79F71926"/>
    <w:rsid w:val="79FC86A3"/>
    <w:rsid w:val="7A551791"/>
    <w:rsid w:val="7A7E1492"/>
    <w:rsid w:val="7AAAA10F"/>
    <w:rsid w:val="7AED9CDE"/>
    <w:rsid w:val="7B3E1A03"/>
    <w:rsid w:val="7B9F7222"/>
    <w:rsid w:val="7BF6F997"/>
    <w:rsid w:val="7BFE809D"/>
    <w:rsid w:val="7BFF30C9"/>
    <w:rsid w:val="7BFF3B60"/>
    <w:rsid w:val="7BFF557C"/>
    <w:rsid w:val="7CC7608D"/>
    <w:rsid w:val="7CEF2113"/>
    <w:rsid w:val="7D4FE94A"/>
    <w:rsid w:val="7D5FD214"/>
    <w:rsid w:val="7D6C0667"/>
    <w:rsid w:val="7DAC0F2C"/>
    <w:rsid w:val="7DDE4CC2"/>
    <w:rsid w:val="7DE320C6"/>
    <w:rsid w:val="7DE3C5D3"/>
    <w:rsid w:val="7DFF41CF"/>
    <w:rsid w:val="7E5A8CF9"/>
    <w:rsid w:val="7E5D347F"/>
    <w:rsid w:val="7E7E9488"/>
    <w:rsid w:val="7EDF6080"/>
    <w:rsid w:val="7EE75926"/>
    <w:rsid w:val="7EEF9B8A"/>
    <w:rsid w:val="7EF31942"/>
    <w:rsid w:val="7EF4E224"/>
    <w:rsid w:val="7EF98556"/>
    <w:rsid w:val="7EFD273A"/>
    <w:rsid w:val="7EFEAAB0"/>
    <w:rsid w:val="7EFF4EC2"/>
    <w:rsid w:val="7F172595"/>
    <w:rsid w:val="7F33E43D"/>
    <w:rsid w:val="7F3F0D18"/>
    <w:rsid w:val="7F432E50"/>
    <w:rsid w:val="7F9575BE"/>
    <w:rsid w:val="7FAF5915"/>
    <w:rsid w:val="7FB7EF75"/>
    <w:rsid w:val="7FBE47F4"/>
    <w:rsid w:val="7FBF67B9"/>
    <w:rsid w:val="7FC6462E"/>
    <w:rsid w:val="7FCCA464"/>
    <w:rsid w:val="7FDAA762"/>
    <w:rsid w:val="7FDECE93"/>
    <w:rsid w:val="7FE9416B"/>
    <w:rsid w:val="7FEA11B4"/>
    <w:rsid w:val="7FF737E9"/>
    <w:rsid w:val="7FF9ABB8"/>
    <w:rsid w:val="7FFB291F"/>
    <w:rsid w:val="7FFD3864"/>
    <w:rsid w:val="7FFDA8BB"/>
    <w:rsid w:val="7FFEA037"/>
    <w:rsid w:val="7FFEB2D6"/>
    <w:rsid w:val="92EB008F"/>
    <w:rsid w:val="93E72F53"/>
    <w:rsid w:val="977B95A4"/>
    <w:rsid w:val="97FF5396"/>
    <w:rsid w:val="9AEFA724"/>
    <w:rsid w:val="9FFB37D5"/>
    <w:rsid w:val="9FFF1421"/>
    <w:rsid w:val="9FFFC0DD"/>
    <w:rsid w:val="A3EF8C6D"/>
    <w:rsid w:val="AACE37EE"/>
    <w:rsid w:val="ABEFD447"/>
    <w:rsid w:val="ADFFDD58"/>
    <w:rsid w:val="AF7A9DE2"/>
    <w:rsid w:val="AFF50465"/>
    <w:rsid w:val="AFFBA691"/>
    <w:rsid w:val="B65F91EC"/>
    <w:rsid w:val="B7F7B2A0"/>
    <w:rsid w:val="B9ED5074"/>
    <w:rsid w:val="BB3F131C"/>
    <w:rsid w:val="BBBFCDFA"/>
    <w:rsid w:val="BDF6D0A7"/>
    <w:rsid w:val="BEF62FCF"/>
    <w:rsid w:val="BFBF05A2"/>
    <w:rsid w:val="BFEAB671"/>
    <w:rsid w:val="BFF11454"/>
    <w:rsid w:val="BFF65C20"/>
    <w:rsid w:val="BFF70D38"/>
    <w:rsid w:val="BFFB7323"/>
    <w:rsid w:val="C59F6126"/>
    <w:rsid w:val="C6FD893F"/>
    <w:rsid w:val="C7EB128B"/>
    <w:rsid w:val="C95DB531"/>
    <w:rsid w:val="CDBE6D26"/>
    <w:rsid w:val="CFF9CAE2"/>
    <w:rsid w:val="CFFEBD49"/>
    <w:rsid w:val="D3D9C63E"/>
    <w:rsid w:val="D3EEB322"/>
    <w:rsid w:val="D57FF961"/>
    <w:rsid w:val="D599F114"/>
    <w:rsid w:val="D67F9174"/>
    <w:rsid w:val="D77E7575"/>
    <w:rsid w:val="D7A51FF3"/>
    <w:rsid w:val="D7F31C4C"/>
    <w:rsid w:val="DDDECDE5"/>
    <w:rsid w:val="DDEF461C"/>
    <w:rsid w:val="DE75C233"/>
    <w:rsid w:val="DECD5CEC"/>
    <w:rsid w:val="DEE98404"/>
    <w:rsid w:val="DFF377DB"/>
    <w:rsid w:val="E2F150D2"/>
    <w:rsid w:val="E5FA2D71"/>
    <w:rsid w:val="E7BFFA72"/>
    <w:rsid w:val="E7FEC8A9"/>
    <w:rsid w:val="E8FFF3ED"/>
    <w:rsid w:val="EADFBE84"/>
    <w:rsid w:val="EB7210BD"/>
    <w:rsid w:val="ECFD4E8D"/>
    <w:rsid w:val="ED7EB797"/>
    <w:rsid w:val="EDAF9846"/>
    <w:rsid w:val="EDC7B3C7"/>
    <w:rsid w:val="EDDF112F"/>
    <w:rsid w:val="EDE2D9E6"/>
    <w:rsid w:val="EDFB72EC"/>
    <w:rsid w:val="EE6CEB3F"/>
    <w:rsid w:val="EE6F22B8"/>
    <w:rsid w:val="EFB758C4"/>
    <w:rsid w:val="EFCE2F71"/>
    <w:rsid w:val="EFDFFF0D"/>
    <w:rsid w:val="EFEEC467"/>
    <w:rsid w:val="EFF37CD1"/>
    <w:rsid w:val="EFFAF70E"/>
    <w:rsid w:val="EFFE0B00"/>
    <w:rsid w:val="F28D1AC7"/>
    <w:rsid w:val="F3576CB4"/>
    <w:rsid w:val="F3DBB36D"/>
    <w:rsid w:val="F3EF4E5D"/>
    <w:rsid w:val="F3FE50DA"/>
    <w:rsid w:val="F4738FE5"/>
    <w:rsid w:val="F5391C56"/>
    <w:rsid w:val="F5CFD79C"/>
    <w:rsid w:val="F69E3658"/>
    <w:rsid w:val="F6FF67D3"/>
    <w:rsid w:val="F79F5242"/>
    <w:rsid w:val="F7B81355"/>
    <w:rsid w:val="F7D317BA"/>
    <w:rsid w:val="F7EDA322"/>
    <w:rsid w:val="F7F53FD7"/>
    <w:rsid w:val="F7FF3A5D"/>
    <w:rsid w:val="F8DD0B52"/>
    <w:rsid w:val="F9EF2B48"/>
    <w:rsid w:val="FA3A6B75"/>
    <w:rsid w:val="FABB0216"/>
    <w:rsid w:val="FAE7BE0B"/>
    <w:rsid w:val="FB7F9EC9"/>
    <w:rsid w:val="FB8BD2E9"/>
    <w:rsid w:val="FB9D04B0"/>
    <w:rsid w:val="FBCCD8A3"/>
    <w:rsid w:val="FBDFDE53"/>
    <w:rsid w:val="FBEF1A4F"/>
    <w:rsid w:val="FBFD5E7A"/>
    <w:rsid w:val="FBFD6E91"/>
    <w:rsid w:val="FCFF337A"/>
    <w:rsid w:val="FD75BF61"/>
    <w:rsid w:val="FD7F7E0C"/>
    <w:rsid w:val="FD97046D"/>
    <w:rsid w:val="FDC47314"/>
    <w:rsid w:val="FDEF2F26"/>
    <w:rsid w:val="FDFAE058"/>
    <w:rsid w:val="FE75518C"/>
    <w:rsid w:val="FE775114"/>
    <w:rsid w:val="FE77833F"/>
    <w:rsid w:val="FECFD359"/>
    <w:rsid w:val="FEDB5CD7"/>
    <w:rsid w:val="FEDF7351"/>
    <w:rsid w:val="FEFB217E"/>
    <w:rsid w:val="FEFBB694"/>
    <w:rsid w:val="FEFFF851"/>
    <w:rsid w:val="FF3F0809"/>
    <w:rsid w:val="FF5BE973"/>
    <w:rsid w:val="FF6C1216"/>
    <w:rsid w:val="FF6ED399"/>
    <w:rsid w:val="FF6FBF33"/>
    <w:rsid w:val="FF75057B"/>
    <w:rsid w:val="FF7CD0DA"/>
    <w:rsid w:val="FF7F0DAC"/>
    <w:rsid w:val="FF7F88FF"/>
    <w:rsid w:val="FF99B3BF"/>
    <w:rsid w:val="FFBF5546"/>
    <w:rsid w:val="FFCBCF7D"/>
    <w:rsid w:val="FFDB3572"/>
    <w:rsid w:val="FFDE636A"/>
    <w:rsid w:val="FFE6D92F"/>
    <w:rsid w:val="FFED4C72"/>
    <w:rsid w:val="FFEDE1BC"/>
    <w:rsid w:val="FFEF31FF"/>
    <w:rsid w:val="FFF52D28"/>
    <w:rsid w:val="FFF71763"/>
    <w:rsid w:val="FFF771B8"/>
    <w:rsid w:val="FFFD977B"/>
    <w:rsid w:val="FFFF931E"/>
    <w:rsid w:val="FFFF9791"/>
    <w:rsid w:val="FFFFF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paragraph" w:customStyle="1" w:styleId="235">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01930E1F">
          <w:pPr>
            <w:pStyle w:val="5"/>
            <w:rPr>
              <w:rFonts w:hint="eastAsia"/>
            </w:rPr>
          </w:pPr>
          <w:r>
            <w:rPr>
              <w:rStyle w:val="4"/>
              <w:rFonts w:hint="eastAsia"/>
            </w:rPr>
            <w:t>单击或点击此处输入文字。</w:t>
          </w:r>
        </w:p>
      </w:docPartBody>
    </w:docPart>
    <w:docPart>
      <w:docPartPr>
        <w:name w:val="EF842793D7364FEE9EEA5FC1636E3FA3"/>
        <w:style w:val=""/>
        <w:category>
          <w:name w:val="常规"/>
          <w:gallery w:val="placeholder"/>
        </w:category>
        <w:types>
          <w:type w:val="bbPlcHdr"/>
        </w:types>
        <w:behaviors>
          <w:behavior w:val="content"/>
        </w:behaviors>
        <w:description w:val=""/>
        <w:guid w:val="{49A47885-DF5F-41E7-A18A-0EE027DCE7CA}"/>
      </w:docPartPr>
      <w:docPartBody>
        <w:p w14:paraId="1F53D0D5">
          <w:pPr>
            <w:pStyle w:val="6"/>
            <w:rPr>
              <w:rFonts w:hint="eastAsia"/>
            </w:rPr>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17CCA6FD">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D3261"/>
    <w:rsid w:val="00196583"/>
    <w:rsid w:val="002352F4"/>
    <w:rsid w:val="0035502A"/>
    <w:rsid w:val="00892CF3"/>
    <w:rsid w:val="008B12A3"/>
    <w:rsid w:val="00915595"/>
    <w:rsid w:val="00992C40"/>
    <w:rsid w:val="00994B2C"/>
    <w:rsid w:val="00C7569E"/>
    <w:rsid w:val="00DC3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EF842793D7364FEE9EEA5FC1636E3FA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1EE55D61E7C4217883D433F8BB1F88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extobjs>
    <extobj name="44B7C0F4-79DB-4F8B-9303-0E098D69D8BE-1">
      <extobjdata type="44B7C0F4-79DB-4F8B-9303-0E098D69D8BE" data="ewoJIkxhc3RVcmwiIDogImh0dHA6Ly93d3cudG9wc2Nhbi5jb20vd3BzL2luZGV4Lmh0bWw/dGV4dD1odHRwJTNBJTJGJTJGdG9wc2Nhbi5jb20lMkYmdGV4dFR5cGU9dGV4dCZyb3VuZD0wJmdyYWRpZW50V2F5PTAiLAoJIkxvZ28iIDogIiIsCgkiT3JpZ2luYWxVcmwiIDogImh0dHA6Ly93d3cudG9wc2Nhbi5jb20vd3BzL2luZGV4Lmh0bWw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10</Pages>
  <Words>3334</Words>
  <Characters>5462</Characters>
  <Lines>215</Lines>
  <Paragraphs>207</Paragraphs>
  <TotalTime>31</TotalTime>
  <ScaleCrop>false</ScaleCrop>
  <LinksUpToDate>false</LinksUpToDate>
  <CharactersWithSpaces>5652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2024-04-06T10:04:00Z</dcterms:created>
  <dc:creator>WuYong</dc:creator>
  <dc:description>&lt;config cover="true" show_menu="true" version="1.0.0" doctype="SDKXY"&gt;_x000d_
&lt;/config&gt;</dc:description>
  <cp:lastModifiedBy>吴勇</cp:lastModifiedBy>
  <cp:lastPrinted>2021-02-06T16:22:00Z</cp:lastPrinted>
  <dcterms:modified xsi:type="dcterms:W3CDTF">2025-09-25T03:06:00Z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5E77AF74E2FA49F889E6563D74CC98CE_12</vt:lpwstr>
  </property>
  <property fmtid="{D5CDD505-2E9C-101B-9397-08002B2CF9AE}" pid="16" name="KSOTemplateDocerSaveRecord">
    <vt:lpwstr>eyJoZGlkIjoiODIwN2QzZWEyYWIxODZiZjA0MjIwNjBlZjFkMjk4NWYiLCJ1c2VySWQiOiIyOTY3MzMxOSJ9</vt:lpwstr>
  </property>
</Properties>
</file>